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86309" w14:textId="2E9BD044" w:rsidR="006E008E" w:rsidRPr="004C45EF" w:rsidRDefault="006E008E" w:rsidP="006E008E">
      <w:pPr>
        <w:spacing w:line="240" w:lineRule="auto"/>
        <w:rPr>
          <w:rFonts w:ascii="Times New Roman" w:hAnsi="Times New Roman" w:cs="Times New Roman"/>
          <w:b/>
          <w:bCs/>
          <w:color w:val="000000" w:themeColor="text1"/>
          <w:sz w:val="28"/>
          <w:szCs w:val="28"/>
        </w:rPr>
      </w:pPr>
      <w:r w:rsidRPr="004C45EF">
        <w:rPr>
          <w:rFonts w:ascii="Times New Roman" w:hAnsi="Times New Roman" w:cs="Times New Roman"/>
          <w:b/>
          <w:bCs/>
          <w:color w:val="000000" w:themeColor="text1"/>
          <w:sz w:val="28"/>
          <w:szCs w:val="28"/>
        </w:rPr>
        <w:t>8.</w:t>
      </w:r>
      <w:r w:rsidR="00DE44F9">
        <w:rPr>
          <w:rFonts w:ascii="Times New Roman" w:hAnsi="Times New Roman" w:cs="Times New Roman"/>
          <w:b/>
          <w:bCs/>
          <w:color w:val="000000" w:themeColor="text1"/>
          <w:sz w:val="28"/>
          <w:szCs w:val="28"/>
        </w:rPr>
        <w:t>0</w:t>
      </w:r>
      <w:r w:rsidR="00B63D69">
        <w:rPr>
          <w:rFonts w:ascii="Times New Roman" w:hAnsi="Times New Roman" w:cs="Times New Roman"/>
          <w:b/>
          <w:bCs/>
          <w:color w:val="000000" w:themeColor="text1"/>
          <w:sz w:val="28"/>
          <w:szCs w:val="28"/>
        </w:rPr>
        <w:t>7</w:t>
      </w:r>
      <w:r w:rsidR="0067298E">
        <w:rPr>
          <w:rFonts w:ascii="Times New Roman" w:hAnsi="Times New Roman" w:cs="Times New Roman"/>
          <w:b/>
          <w:bCs/>
          <w:color w:val="000000" w:themeColor="text1"/>
          <w:sz w:val="28"/>
          <w:szCs w:val="28"/>
        </w:rPr>
        <w:t>.1</w:t>
      </w:r>
      <w:r w:rsidRPr="004C45EF">
        <w:rPr>
          <w:rFonts w:ascii="Times New Roman" w:hAnsi="Times New Roman" w:cs="Times New Roman"/>
          <w:b/>
          <w:bCs/>
          <w:color w:val="000000" w:themeColor="text1"/>
          <w:sz w:val="28"/>
          <w:szCs w:val="28"/>
        </w:rPr>
        <w:t xml:space="preserve"> </w:t>
      </w:r>
      <w:r w:rsidR="00D951EF" w:rsidRPr="004C45EF">
        <w:rPr>
          <w:rFonts w:ascii="Times New Roman" w:hAnsi="Times New Roman" w:cs="Times New Roman"/>
          <w:b/>
          <w:bCs/>
          <w:color w:val="000000" w:themeColor="text1"/>
          <w:sz w:val="28"/>
          <w:szCs w:val="28"/>
        </w:rPr>
        <w:t>B</w:t>
      </w:r>
      <w:r w:rsidRPr="004C45EF">
        <w:rPr>
          <w:rFonts w:ascii="Times New Roman" w:hAnsi="Times New Roman" w:cs="Times New Roman"/>
          <w:b/>
          <w:bCs/>
          <w:color w:val="000000" w:themeColor="text1"/>
          <w:sz w:val="28"/>
          <w:szCs w:val="28"/>
        </w:rPr>
        <w:t>oundar</w:t>
      </w:r>
      <w:r w:rsidR="009016C0">
        <w:rPr>
          <w:rFonts w:ascii="Times New Roman" w:hAnsi="Times New Roman" w:cs="Times New Roman"/>
          <w:b/>
          <w:bCs/>
          <w:color w:val="000000" w:themeColor="text1"/>
          <w:sz w:val="28"/>
          <w:szCs w:val="28"/>
        </w:rPr>
        <w:t>ies</w:t>
      </w:r>
      <w:r w:rsidR="0067298E">
        <w:rPr>
          <w:rFonts w:ascii="Times New Roman" w:hAnsi="Times New Roman" w:cs="Times New Roman"/>
          <w:b/>
          <w:bCs/>
          <w:color w:val="000000" w:themeColor="text1"/>
          <w:sz w:val="28"/>
          <w:szCs w:val="28"/>
        </w:rPr>
        <w:t xml:space="preserve"> or </w:t>
      </w:r>
      <w:r w:rsidR="004770E5">
        <w:rPr>
          <w:rFonts w:ascii="Times New Roman" w:hAnsi="Times New Roman" w:cs="Times New Roman"/>
          <w:b/>
          <w:bCs/>
          <w:color w:val="000000" w:themeColor="text1"/>
          <w:sz w:val="28"/>
          <w:szCs w:val="28"/>
        </w:rPr>
        <w:t>Customs Affecting Lands</w:t>
      </w:r>
    </w:p>
    <w:p w14:paraId="2F3C143B" w14:textId="4D3B44FA" w:rsidR="006E008E" w:rsidRPr="004C45EF" w:rsidRDefault="006E008E" w:rsidP="006E008E">
      <w:pPr>
        <w:pStyle w:val="L1-1"/>
        <w:widowControl/>
        <w:tabs>
          <w:tab w:val="left" w:pos="720"/>
          <w:tab w:val="left" w:pos="1439"/>
          <w:tab w:val="left" w:pos="2159"/>
          <w:tab w:val="left" w:pos="2879"/>
          <w:tab w:val="left" w:pos="3599"/>
          <w:tab w:val="left" w:pos="4319"/>
          <w:tab w:val="left" w:pos="5039"/>
          <w:tab w:val="left" w:pos="5759"/>
          <w:tab w:val="left" w:pos="6479"/>
        </w:tabs>
        <w:ind w:left="720"/>
        <w:rPr>
          <w:rFonts w:ascii="Times New Roman" w:hAnsi="Times New Roman" w:cs="Times New Roman"/>
          <w:b/>
          <w:bCs/>
          <w:color w:val="000000" w:themeColor="text1"/>
          <w:sz w:val="28"/>
          <w:szCs w:val="28"/>
        </w:rPr>
      </w:pPr>
      <w:r w:rsidRPr="004C45EF">
        <w:rPr>
          <w:rFonts w:ascii="Times New Roman" w:hAnsi="Times New Roman" w:cs="Times New Roman"/>
          <w:b/>
          <w:bCs/>
          <w:color w:val="000000" w:themeColor="text1"/>
          <w:sz w:val="28"/>
          <w:szCs w:val="28"/>
        </w:rPr>
        <w:t>(</w:t>
      </w:r>
      <w:r w:rsidR="00943E1C" w:rsidRPr="004C45EF">
        <w:rPr>
          <w:rFonts w:ascii="Times New Roman" w:hAnsi="Times New Roman" w:cs="Times New Roman"/>
          <w:b/>
          <w:bCs/>
          <w:color w:val="000000" w:themeColor="text1"/>
          <w:sz w:val="28"/>
          <w:szCs w:val="28"/>
        </w:rPr>
        <w:t>1</w:t>
      </w:r>
      <w:r w:rsidRPr="004C45EF">
        <w:rPr>
          <w:rFonts w:ascii="Times New Roman" w:hAnsi="Times New Roman" w:cs="Times New Roman"/>
          <w:b/>
          <w:bCs/>
          <w:color w:val="000000" w:themeColor="text1"/>
          <w:sz w:val="28"/>
          <w:szCs w:val="28"/>
        </w:rPr>
        <w:t>) Evidence of long-standing reputation in the relevant community as to boundaries of, or customs affecting, lands in issue, existing before the controversy arose, is admissible.</w:t>
      </w:r>
    </w:p>
    <w:p w14:paraId="2EE0EB9C" w14:textId="77777777" w:rsidR="006E008E" w:rsidRPr="004C45EF" w:rsidRDefault="006E008E" w:rsidP="006E008E">
      <w:pPr>
        <w:pStyle w:val="L1-1"/>
        <w:widowControl/>
        <w:tabs>
          <w:tab w:val="left" w:pos="720"/>
          <w:tab w:val="left" w:pos="1439"/>
          <w:tab w:val="left" w:pos="2159"/>
          <w:tab w:val="left" w:pos="2879"/>
          <w:tab w:val="left" w:pos="3599"/>
          <w:tab w:val="left" w:pos="4319"/>
          <w:tab w:val="left" w:pos="5039"/>
          <w:tab w:val="left" w:pos="5759"/>
          <w:tab w:val="left" w:pos="6479"/>
        </w:tabs>
        <w:ind w:left="720"/>
        <w:rPr>
          <w:rFonts w:ascii="Times New Roman" w:hAnsi="Times New Roman" w:cs="Times New Roman"/>
          <w:b/>
          <w:bCs/>
          <w:color w:val="000000" w:themeColor="text1"/>
          <w:sz w:val="28"/>
          <w:szCs w:val="28"/>
        </w:rPr>
      </w:pPr>
    </w:p>
    <w:p w14:paraId="05BB80CA" w14:textId="310529EA" w:rsidR="006E008E" w:rsidRPr="004C45EF" w:rsidRDefault="006E008E" w:rsidP="006E008E">
      <w:pPr>
        <w:pStyle w:val="L1-1"/>
        <w:widowControl/>
        <w:tabs>
          <w:tab w:val="left" w:pos="720"/>
          <w:tab w:val="left" w:pos="1439"/>
          <w:tab w:val="left" w:pos="2159"/>
          <w:tab w:val="left" w:pos="2879"/>
          <w:tab w:val="left" w:pos="3599"/>
          <w:tab w:val="left" w:pos="4319"/>
          <w:tab w:val="left" w:pos="5039"/>
          <w:tab w:val="left" w:pos="5759"/>
          <w:tab w:val="left" w:pos="6479"/>
        </w:tabs>
        <w:ind w:left="720"/>
        <w:rPr>
          <w:rFonts w:ascii="Times New Roman" w:hAnsi="Times New Roman" w:cs="Times New Roman"/>
          <w:b/>
          <w:bCs/>
          <w:color w:val="000000" w:themeColor="text1"/>
          <w:sz w:val="28"/>
          <w:szCs w:val="28"/>
        </w:rPr>
      </w:pPr>
      <w:r w:rsidRPr="004C45EF">
        <w:rPr>
          <w:rFonts w:ascii="Times New Roman" w:hAnsi="Times New Roman" w:cs="Times New Roman"/>
          <w:b/>
          <w:bCs/>
          <w:color w:val="000000" w:themeColor="text1"/>
          <w:sz w:val="28"/>
          <w:szCs w:val="28"/>
        </w:rPr>
        <w:t>(</w:t>
      </w:r>
      <w:r w:rsidR="00943E1C" w:rsidRPr="004C45EF">
        <w:rPr>
          <w:rFonts w:ascii="Times New Roman" w:hAnsi="Times New Roman" w:cs="Times New Roman"/>
          <w:b/>
          <w:bCs/>
          <w:color w:val="000000" w:themeColor="text1"/>
          <w:sz w:val="28"/>
          <w:szCs w:val="28"/>
        </w:rPr>
        <w:t>2</w:t>
      </w:r>
      <w:r w:rsidRPr="004C45EF">
        <w:rPr>
          <w:rFonts w:ascii="Times New Roman" w:hAnsi="Times New Roman" w:cs="Times New Roman"/>
          <w:b/>
          <w:bCs/>
          <w:color w:val="000000" w:themeColor="text1"/>
          <w:sz w:val="28"/>
          <w:szCs w:val="28"/>
        </w:rPr>
        <w:t xml:space="preserve">) Parol declarations of a deceased person who owned or was in possession of land, as to the boundary line between </w:t>
      </w:r>
      <w:r w:rsidR="00F06CF0" w:rsidRPr="004C45EF">
        <w:rPr>
          <w:rFonts w:ascii="Times New Roman" w:hAnsi="Times New Roman" w:cs="Times New Roman"/>
          <w:b/>
          <w:bCs/>
          <w:color w:val="000000" w:themeColor="text1"/>
          <w:sz w:val="28"/>
          <w:szCs w:val="28"/>
        </w:rPr>
        <w:t xml:space="preserve">the </w:t>
      </w:r>
      <w:r w:rsidR="0066391B" w:rsidRPr="004C45EF">
        <w:rPr>
          <w:rFonts w:ascii="Times New Roman" w:hAnsi="Times New Roman" w:cs="Times New Roman"/>
          <w:b/>
          <w:bCs/>
          <w:color w:val="000000" w:themeColor="text1"/>
          <w:sz w:val="28"/>
          <w:szCs w:val="28"/>
        </w:rPr>
        <w:t>land of</w:t>
      </w:r>
      <w:r w:rsidR="00A87205" w:rsidRPr="004C45EF">
        <w:rPr>
          <w:rFonts w:ascii="Times New Roman" w:hAnsi="Times New Roman" w:cs="Times New Roman"/>
          <w:b/>
          <w:bCs/>
          <w:color w:val="000000" w:themeColor="text1"/>
          <w:sz w:val="28"/>
          <w:szCs w:val="28"/>
        </w:rPr>
        <w:t xml:space="preserve"> the deceased person </w:t>
      </w:r>
      <w:r w:rsidRPr="004C45EF">
        <w:rPr>
          <w:rFonts w:ascii="Times New Roman" w:hAnsi="Times New Roman" w:cs="Times New Roman"/>
          <w:b/>
          <w:bCs/>
          <w:color w:val="000000" w:themeColor="text1"/>
          <w:sz w:val="28"/>
          <w:szCs w:val="28"/>
        </w:rPr>
        <w:t>and the land of another</w:t>
      </w:r>
      <w:r w:rsidR="001577ED" w:rsidRPr="004C45EF">
        <w:rPr>
          <w:rFonts w:ascii="Times New Roman" w:hAnsi="Times New Roman" w:cs="Times New Roman"/>
          <w:b/>
          <w:bCs/>
          <w:color w:val="000000" w:themeColor="text1"/>
          <w:sz w:val="28"/>
          <w:szCs w:val="28"/>
        </w:rPr>
        <w:t>,</w:t>
      </w:r>
      <w:r w:rsidRPr="004C45EF">
        <w:rPr>
          <w:rFonts w:ascii="Times New Roman" w:hAnsi="Times New Roman" w:cs="Times New Roman"/>
          <w:b/>
          <w:bCs/>
          <w:color w:val="000000" w:themeColor="text1"/>
          <w:sz w:val="28"/>
          <w:szCs w:val="28"/>
        </w:rPr>
        <w:t xml:space="preserve"> are admissible.</w:t>
      </w:r>
    </w:p>
    <w:p w14:paraId="054872F1" w14:textId="77777777" w:rsidR="006E008E" w:rsidRPr="004C45EF" w:rsidRDefault="006E008E" w:rsidP="006E008E">
      <w:pPr>
        <w:pStyle w:val="L1-1"/>
        <w:widowControl/>
        <w:tabs>
          <w:tab w:val="left" w:pos="720"/>
          <w:tab w:val="left" w:pos="1439"/>
          <w:tab w:val="left" w:pos="2159"/>
          <w:tab w:val="left" w:pos="2879"/>
          <w:tab w:val="left" w:pos="3599"/>
          <w:tab w:val="left" w:pos="4319"/>
          <w:tab w:val="left" w:pos="5039"/>
          <w:tab w:val="left" w:pos="5759"/>
          <w:tab w:val="left" w:pos="6479"/>
        </w:tabs>
        <w:ind w:left="720"/>
        <w:rPr>
          <w:rFonts w:ascii="Times New Roman" w:hAnsi="Times New Roman" w:cs="Times New Roman"/>
          <w:b/>
          <w:bCs/>
          <w:color w:val="000000" w:themeColor="text1"/>
          <w:sz w:val="28"/>
          <w:szCs w:val="28"/>
        </w:rPr>
      </w:pPr>
    </w:p>
    <w:p w14:paraId="476E4BCF" w14:textId="77777777" w:rsidR="006E008E" w:rsidRPr="004C45EF" w:rsidRDefault="006E008E" w:rsidP="006E008E">
      <w:pPr>
        <w:pStyle w:val="L1-1"/>
        <w:widowControl/>
        <w:tabs>
          <w:tab w:val="left" w:pos="720"/>
          <w:tab w:val="left" w:pos="1439"/>
          <w:tab w:val="left" w:pos="2159"/>
          <w:tab w:val="left" w:pos="2879"/>
          <w:tab w:val="left" w:pos="3599"/>
          <w:tab w:val="left" w:pos="4319"/>
          <w:tab w:val="left" w:pos="5039"/>
          <w:tab w:val="left" w:pos="5759"/>
          <w:tab w:val="left" w:pos="6479"/>
        </w:tabs>
        <w:ind w:left="720"/>
        <w:rPr>
          <w:rFonts w:ascii="Times New Roman" w:hAnsi="Times New Roman" w:cs="Times New Roman"/>
          <w:b/>
          <w:bCs/>
          <w:color w:val="000000" w:themeColor="text1"/>
          <w:sz w:val="28"/>
          <w:szCs w:val="28"/>
        </w:rPr>
      </w:pPr>
    </w:p>
    <w:p w14:paraId="6D5F303E" w14:textId="77777777" w:rsidR="006E008E" w:rsidRPr="004C45EF" w:rsidRDefault="006E008E" w:rsidP="006E008E">
      <w:pPr>
        <w:spacing w:line="240" w:lineRule="auto"/>
        <w:jc w:val="center"/>
        <w:rPr>
          <w:rFonts w:ascii="Times New Roman" w:hAnsi="Times New Roman" w:cs="Times New Roman"/>
          <w:b/>
          <w:bCs/>
          <w:color w:val="000000" w:themeColor="text1"/>
          <w:sz w:val="28"/>
          <w:szCs w:val="28"/>
        </w:rPr>
      </w:pPr>
      <w:r w:rsidRPr="004C45EF">
        <w:rPr>
          <w:rFonts w:ascii="Times New Roman" w:hAnsi="Times New Roman" w:cs="Times New Roman"/>
          <w:b/>
          <w:bCs/>
          <w:color w:val="000000" w:themeColor="text1"/>
          <w:sz w:val="28"/>
          <w:szCs w:val="28"/>
        </w:rPr>
        <w:t>Note</w:t>
      </w:r>
    </w:p>
    <w:p w14:paraId="77CAB7E0" w14:textId="38281E4C" w:rsidR="006E008E" w:rsidRPr="004C45EF" w:rsidRDefault="006E008E" w:rsidP="004C45EF">
      <w:pPr>
        <w:numPr>
          <w:ilvl w:val="12"/>
          <w:numId w:val="0"/>
        </w:numPr>
        <w:pBdr>
          <w:bottom w:val="single" w:sz="12" w:space="3" w:color="auto"/>
        </w:pBdr>
        <w:tabs>
          <w:tab w:val="left" w:pos="720"/>
          <w:tab w:val="left" w:pos="1440"/>
          <w:tab w:val="left" w:pos="2160"/>
          <w:tab w:val="left" w:pos="2880"/>
          <w:tab w:val="left" w:pos="3600"/>
          <w:tab w:val="left" w:pos="4320"/>
          <w:tab w:val="left" w:pos="5040"/>
          <w:tab w:val="left" w:pos="5760"/>
          <w:tab w:val="left" w:pos="6480"/>
          <w:tab w:val="left" w:pos="7200"/>
          <w:tab w:val="left" w:pos="7924"/>
        </w:tabs>
        <w:spacing w:line="240" w:lineRule="auto"/>
        <w:ind w:left="-14"/>
        <w:jc w:val="both"/>
        <w:rPr>
          <w:rFonts w:ascii="Times New Roman" w:hAnsi="Times New Roman" w:cs="Times New Roman"/>
          <w:color w:val="000000" w:themeColor="text1"/>
          <w:sz w:val="28"/>
          <w:szCs w:val="28"/>
        </w:rPr>
      </w:pPr>
      <w:r w:rsidRPr="004C45EF">
        <w:rPr>
          <w:rFonts w:ascii="Times New Roman" w:hAnsi="Times New Roman" w:cs="Times New Roman"/>
          <w:color w:val="000000" w:themeColor="text1"/>
          <w:sz w:val="28"/>
          <w:szCs w:val="28"/>
        </w:rPr>
        <w:tab/>
      </w:r>
      <w:r w:rsidRPr="004C45EF">
        <w:rPr>
          <w:rFonts w:ascii="Times New Roman" w:hAnsi="Times New Roman" w:cs="Times New Roman"/>
          <w:b/>
          <w:bCs/>
          <w:color w:val="000000" w:themeColor="text1"/>
          <w:sz w:val="28"/>
          <w:szCs w:val="28"/>
        </w:rPr>
        <w:t>Subdivision (1)</w:t>
      </w:r>
      <w:r w:rsidRPr="004C45EF">
        <w:rPr>
          <w:rFonts w:ascii="Times New Roman" w:hAnsi="Times New Roman" w:cs="Times New Roman"/>
          <w:color w:val="000000" w:themeColor="text1"/>
          <w:sz w:val="28"/>
          <w:szCs w:val="28"/>
        </w:rPr>
        <w:t xml:space="preserve"> is derived from </w:t>
      </w:r>
      <w:r w:rsidRPr="004C45EF">
        <w:rPr>
          <w:rFonts w:ascii="Times New Roman" w:hAnsi="Times New Roman" w:cs="Times New Roman"/>
          <w:i/>
          <w:iCs/>
          <w:color w:val="000000" w:themeColor="text1"/>
          <w:sz w:val="28"/>
          <w:szCs w:val="28"/>
        </w:rPr>
        <w:t>McKinnon v Bliss</w:t>
      </w:r>
      <w:r w:rsidRPr="004C45EF">
        <w:rPr>
          <w:rFonts w:ascii="Times New Roman" w:hAnsi="Times New Roman" w:cs="Times New Roman"/>
          <w:color w:val="000000" w:themeColor="text1"/>
          <w:sz w:val="28"/>
          <w:szCs w:val="28"/>
        </w:rPr>
        <w:t>, 21 NY 206, 217 [1860], wherein the Court of Appeals stated: “That hearsay or reputation is admissible . . . upon questions respecting the boundaries of lands . . . is a familiar doctrine.” (</w:t>
      </w:r>
      <w:r w:rsidRPr="004C45EF">
        <w:rPr>
          <w:rFonts w:ascii="Times New Roman" w:hAnsi="Times New Roman" w:cs="Times New Roman"/>
          <w:i/>
          <w:iCs/>
          <w:color w:val="000000" w:themeColor="text1"/>
          <w:sz w:val="28"/>
          <w:szCs w:val="28"/>
        </w:rPr>
        <w:t>See also Village of Oxford v Willoughby</w:t>
      </w:r>
      <w:r w:rsidRPr="004C45EF">
        <w:rPr>
          <w:rFonts w:ascii="Times New Roman" w:hAnsi="Times New Roman" w:cs="Times New Roman"/>
          <w:color w:val="000000" w:themeColor="text1"/>
          <w:sz w:val="28"/>
          <w:szCs w:val="28"/>
        </w:rPr>
        <w:t>, 181 NY 155, 160-161 [1905] [“accepted belief of the community” as to location of public road].</w:t>
      </w:r>
    </w:p>
    <w:p w14:paraId="36FD083B" w14:textId="5C6D704C" w:rsidR="006E008E" w:rsidRDefault="006E008E" w:rsidP="004C45EF">
      <w:pPr>
        <w:numPr>
          <w:ilvl w:val="12"/>
          <w:numId w:val="0"/>
        </w:numPr>
        <w:pBdr>
          <w:bottom w:val="single" w:sz="12" w:space="3" w:color="auto"/>
        </w:pBdr>
        <w:tabs>
          <w:tab w:val="left" w:pos="720"/>
          <w:tab w:val="left" w:pos="1440"/>
          <w:tab w:val="left" w:pos="2160"/>
          <w:tab w:val="left" w:pos="2880"/>
          <w:tab w:val="left" w:pos="3600"/>
          <w:tab w:val="left" w:pos="4320"/>
          <w:tab w:val="left" w:pos="5040"/>
          <w:tab w:val="left" w:pos="5760"/>
          <w:tab w:val="left" w:pos="6480"/>
          <w:tab w:val="left" w:pos="7200"/>
          <w:tab w:val="left" w:pos="7924"/>
        </w:tabs>
        <w:spacing w:line="240" w:lineRule="auto"/>
        <w:ind w:left="-14"/>
        <w:jc w:val="both"/>
        <w:rPr>
          <w:rFonts w:ascii="Times New Roman" w:hAnsi="Times New Roman" w:cs="Times New Roman"/>
          <w:color w:val="000000" w:themeColor="text1"/>
          <w:sz w:val="28"/>
          <w:szCs w:val="28"/>
        </w:rPr>
      </w:pPr>
      <w:r w:rsidRPr="004C45EF">
        <w:rPr>
          <w:rFonts w:ascii="Times New Roman" w:hAnsi="Times New Roman" w:cs="Times New Roman"/>
          <w:color w:val="000000" w:themeColor="text1"/>
          <w:sz w:val="28"/>
          <w:szCs w:val="28"/>
        </w:rPr>
        <w:tab/>
      </w:r>
      <w:r w:rsidRPr="004C45EF">
        <w:rPr>
          <w:rFonts w:ascii="Times New Roman" w:hAnsi="Times New Roman" w:cs="Times New Roman"/>
          <w:b/>
          <w:bCs/>
          <w:color w:val="000000" w:themeColor="text1"/>
          <w:sz w:val="28"/>
          <w:szCs w:val="28"/>
        </w:rPr>
        <w:t>Subdivision (2)</w:t>
      </w:r>
      <w:r w:rsidRPr="004C45EF">
        <w:rPr>
          <w:rFonts w:ascii="Times New Roman" w:hAnsi="Times New Roman" w:cs="Times New Roman"/>
          <w:color w:val="000000" w:themeColor="text1"/>
          <w:sz w:val="28"/>
          <w:szCs w:val="28"/>
        </w:rPr>
        <w:t xml:space="preserve"> recites a holding of </w:t>
      </w:r>
      <w:r w:rsidRPr="004C45EF">
        <w:rPr>
          <w:rFonts w:ascii="Times New Roman" w:hAnsi="Times New Roman" w:cs="Times New Roman"/>
          <w:i/>
          <w:iCs/>
          <w:color w:val="000000" w:themeColor="text1"/>
          <w:sz w:val="28"/>
          <w:szCs w:val="28"/>
        </w:rPr>
        <w:t>Hannah v Baylon Holding Corp.</w:t>
      </w:r>
      <w:r w:rsidRPr="004C45EF">
        <w:rPr>
          <w:rFonts w:ascii="Times New Roman" w:hAnsi="Times New Roman" w:cs="Times New Roman"/>
          <w:iCs/>
          <w:color w:val="000000" w:themeColor="text1"/>
          <w:sz w:val="28"/>
          <w:szCs w:val="28"/>
        </w:rPr>
        <w:t>,</w:t>
      </w:r>
      <w:r w:rsidRPr="004C45EF">
        <w:rPr>
          <w:rFonts w:ascii="Times New Roman" w:hAnsi="Times New Roman" w:cs="Times New Roman"/>
          <w:color w:val="000000" w:themeColor="text1"/>
          <w:sz w:val="28"/>
          <w:szCs w:val="28"/>
        </w:rPr>
        <w:t xml:space="preserve"> 28 NY2d 89 [1971] [declarations of a deceased person who owned or was in possession of land, as to the boundary line between him and the land of another, were admissible as an exception to the hearsay rule and were sufficient to establish boundary lines]; </w:t>
      </w:r>
      <w:r w:rsidRPr="004C45EF">
        <w:rPr>
          <w:rFonts w:ascii="Times New Roman" w:hAnsi="Times New Roman" w:cs="Times New Roman"/>
          <w:i/>
          <w:iCs/>
          <w:color w:val="000000" w:themeColor="text1"/>
          <w:sz w:val="28"/>
          <w:szCs w:val="28"/>
        </w:rPr>
        <w:t>Gardner v Town of Claverack</w:t>
      </w:r>
      <w:r w:rsidRPr="004C45EF">
        <w:rPr>
          <w:rFonts w:ascii="Times New Roman" w:hAnsi="Times New Roman" w:cs="Times New Roman"/>
          <w:color w:val="000000" w:themeColor="text1"/>
          <w:sz w:val="28"/>
          <w:szCs w:val="28"/>
        </w:rPr>
        <w:t>,</w:t>
      </w:r>
      <w:r w:rsidRPr="004C45EF">
        <w:rPr>
          <w:rFonts w:ascii="Times New Roman" w:hAnsi="Times New Roman" w:cs="Times New Roman"/>
          <w:i/>
          <w:iCs/>
          <w:color w:val="000000" w:themeColor="text1"/>
          <w:sz w:val="28"/>
          <w:szCs w:val="28"/>
        </w:rPr>
        <w:t xml:space="preserve"> </w:t>
      </w:r>
      <w:r w:rsidRPr="004C45EF">
        <w:rPr>
          <w:rFonts w:ascii="Times New Roman" w:hAnsi="Times New Roman" w:cs="Times New Roman"/>
          <w:color w:val="000000" w:themeColor="text1"/>
          <w:sz w:val="28"/>
          <w:szCs w:val="28"/>
        </w:rPr>
        <w:t xml:space="preserve">22 NYS2d 265, 268-269 [Sup Ct, Columbia County 1940], </w:t>
      </w:r>
      <w:r w:rsidRPr="004C45EF">
        <w:rPr>
          <w:rFonts w:ascii="Times New Roman" w:hAnsi="Times New Roman" w:cs="Times New Roman"/>
          <w:i/>
          <w:iCs/>
          <w:color w:val="000000" w:themeColor="text1"/>
          <w:sz w:val="28"/>
          <w:szCs w:val="28"/>
        </w:rPr>
        <w:t>affd</w:t>
      </w:r>
      <w:r w:rsidRPr="004C45EF">
        <w:rPr>
          <w:rFonts w:ascii="Times New Roman" w:hAnsi="Times New Roman" w:cs="Times New Roman"/>
          <w:color w:val="000000" w:themeColor="text1"/>
          <w:sz w:val="28"/>
          <w:szCs w:val="28"/>
        </w:rPr>
        <w:t xml:space="preserve"> 259 App Div 1111 [3d Dept 1940].)</w:t>
      </w:r>
    </w:p>
    <w:p w14:paraId="325E212A" w14:textId="77777777" w:rsidR="004C45EF" w:rsidRDefault="004C45EF" w:rsidP="004C45EF">
      <w:pPr>
        <w:numPr>
          <w:ilvl w:val="12"/>
          <w:numId w:val="0"/>
        </w:numPr>
        <w:pBdr>
          <w:bottom w:val="single" w:sz="12" w:space="3" w:color="auto"/>
        </w:pBdr>
        <w:tabs>
          <w:tab w:val="left" w:pos="720"/>
          <w:tab w:val="left" w:pos="1440"/>
          <w:tab w:val="left" w:pos="2160"/>
          <w:tab w:val="left" w:pos="2880"/>
          <w:tab w:val="left" w:pos="3600"/>
          <w:tab w:val="left" w:pos="4320"/>
          <w:tab w:val="left" w:pos="5040"/>
          <w:tab w:val="left" w:pos="5760"/>
          <w:tab w:val="left" w:pos="6480"/>
          <w:tab w:val="left" w:pos="7200"/>
          <w:tab w:val="left" w:pos="7924"/>
        </w:tabs>
        <w:spacing w:line="240" w:lineRule="auto"/>
        <w:ind w:left="-14"/>
        <w:jc w:val="both"/>
        <w:rPr>
          <w:rFonts w:ascii="Times New Roman" w:hAnsi="Times New Roman" w:cs="Times New Roman"/>
          <w:sz w:val="28"/>
          <w:szCs w:val="28"/>
        </w:rPr>
      </w:pPr>
    </w:p>
    <w:sectPr w:rsidR="004C45EF" w:rsidSect="00DB702E">
      <w:pgSz w:w="12240" w:h="15840"/>
      <w:pgMar w:top="720" w:right="2160" w:bottom="720" w:left="216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6E008E"/>
    <w:rsid w:val="00064F17"/>
    <w:rsid w:val="0008104D"/>
    <w:rsid w:val="000A417A"/>
    <w:rsid w:val="00102655"/>
    <w:rsid w:val="00106CFE"/>
    <w:rsid w:val="00107997"/>
    <w:rsid w:val="00142DAD"/>
    <w:rsid w:val="001515E4"/>
    <w:rsid w:val="001577ED"/>
    <w:rsid w:val="00191932"/>
    <w:rsid w:val="001F785A"/>
    <w:rsid w:val="002155B9"/>
    <w:rsid w:val="0022525A"/>
    <w:rsid w:val="00254815"/>
    <w:rsid w:val="00271926"/>
    <w:rsid w:val="002A308A"/>
    <w:rsid w:val="003035A9"/>
    <w:rsid w:val="00353F39"/>
    <w:rsid w:val="00365286"/>
    <w:rsid w:val="003939A8"/>
    <w:rsid w:val="003A4A20"/>
    <w:rsid w:val="003A4F5F"/>
    <w:rsid w:val="003C29FA"/>
    <w:rsid w:val="00403A5B"/>
    <w:rsid w:val="0042368D"/>
    <w:rsid w:val="00432AB0"/>
    <w:rsid w:val="00435824"/>
    <w:rsid w:val="004412E8"/>
    <w:rsid w:val="004536CC"/>
    <w:rsid w:val="004770E5"/>
    <w:rsid w:val="004C45EF"/>
    <w:rsid w:val="004E0B03"/>
    <w:rsid w:val="00570E4B"/>
    <w:rsid w:val="00581FBD"/>
    <w:rsid w:val="005C23A0"/>
    <w:rsid w:val="005D1EE3"/>
    <w:rsid w:val="005E2CC2"/>
    <w:rsid w:val="0063519E"/>
    <w:rsid w:val="0064449E"/>
    <w:rsid w:val="0066391B"/>
    <w:rsid w:val="0067298E"/>
    <w:rsid w:val="006A59A7"/>
    <w:rsid w:val="006B7884"/>
    <w:rsid w:val="006C54AB"/>
    <w:rsid w:val="006D3D1C"/>
    <w:rsid w:val="006E008E"/>
    <w:rsid w:val="006F6B73"/>
    <w:rsid w:val="00771AD3"/>
    <w:rsid w:val="007738AB"/>
    <w:rsid w:val="007B270A"/>
    <w:rsid w:val="007E7481"/>
    <w:rsid w:val="008A7095"/>
    <w:rsid w:val="008B3114"/>
    <w:rsid w:val="008C24AC"/>
    <w:rsid w:val="008D6C54"/>
    <w:rsid w:val="008F27C2"/>
    <w:rsid w:val="008F4156"/>
    <w:rsid w:val="009016C0"/>
    <w:rsid w:val="009117E4"/>
    <w:rsid w:val="0093540E"/>
    <w:rsid w:val="00943E1C"/>
    <w:rsid w:val="00954B1A"/>
    <w:rsid w:val="00992EAD"/>
    <w:rsid w:val="009D2456"/>
    <w:rsid w:val="009E6219"/>
    <w:rsid w:val="009F48E4"/>
    <w:rsid w:val="00A32C61"/>
    <w:rsid w:val="00A35D58"/>
    <w:rsid w:val="00A55D92"/>
    <w:rsid w:val="00A617BF"/>
    <w:rsid w:val="00A649A0"/>
    <w:rsid w:val="00A87205"/>
    <w:rsid w:val="00AD48FC"/>
    <w:rsid w:val="00AE19B6"/>
    <w:rsid w:val="00B13196"/>
    <w:rsid w:val="00B63D69"/>
    <w:rsid w:val="00C9512E"/>
    <w:rsid w:val="00CC1272"/>
    <w:rsid w:val="00CD35BE"/>
    <w:rsid w:val="00D61C8F"/>
    <w:rsid w:val="00D7108E"/>
    <w:rsid w:val="00D905CD"/>
    <w:rsid w:val="00D951EF"/>
    <w:rsid w:val="00DA29A5"/>
    <w:rsid w:val="00DB702E"/>
    <w:rsid w:val="00DD0E8B"/>
    <w:rsid w:val="00DE44F9"/>
    <w:rsid w:val="00E14619"/>
    <w:rsid w:val="00E21582"/>
    <w:rsid w:val="00E31DAF"/>
    <w:rsid w:val="00E35B6B"/>
    <w:rsid w:val="00E51BE0"/>
    <w:rsid w:val="00E91B6E"/>
    <w:rsid w:val="00E953C6"/>
    <w:rsid w:val="00E97CAC"/>
    <w:rsid w:val="00EB5C2C"/>
    <w:rsid w:val="00EC4AE8"/>
    <w:rsid w:val="00EE506E"/>
    <w:rsid w:val="00F06CF0"/>
    <w:rsid w:val="00F31024"/>
    <w:rsid w:val="00F4402C"/>
    <w:rsid w:val="00F82C8E"/>
    <w:rsid w:val="00FE6BE5"/>
    <w:rsid w:val="00FE6D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2E8FE"/>
  <w15:chartTrackingRefBased/>
  <w15:docId w15:val="{698C0454-36B0-414B-9AEE-5F63F4CF3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pacing w:val="-10"/>
        <w:sz w:val="24"/>
        <w:szCs w:val="24"/>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08E"/>
    <w:pPr>
      <w:spacing w:after="160" w:line="278" w:lineRule="auto"/>
      <w:jc w:val="left"/>
    </w:pPr>
    <w:rPr>
      <w:rFonts w:asciiTheme="minorHAnsi" w:hAnsiTheme="minorHAnsi" w:cstheme="minorBidi"/>
      <w:spacing w:val="0"/>
      <w:kern w:val="2"/>
    </w:rPr>
  </w:style>
  <w:style w:type="paragraph" w:styleId="Heading1">
    <w:name w:val="heading 1"/>
    <w:basedOn w:val="Normal"/>
    <w:next w:val="Normal"/>
    <w:link w:val="Heading1Char"/>
    <w:uiPriority w:val="9"/>
    <w:qFormat/>
    <w:rsid w:val="006E00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E00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E00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E00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E00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E008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E008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E008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E008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Spacing"/>
    <w:next w:val="NoSpacing"/>
    <w:autoRedefine/>
    <w:uiPriority w:val="39"/>
    <w:qFormat/>
    <w:rsid w:val="00102655"/>
    <w:pPr>
      <w:spacing w:before="120" w:after="120" w:line="278" w:lineRule="auto"/>
      <w:jc w:val="left"/>
    </w:pPr>
    <w:rPr>
      <w:rFonts w:eastAsiaTheme="minorEastAsia" w:cstheme="minorBidi"/>
      <w:b/>
      <w:bCs/>
      <w:caps/>
      <w:spacing w:val="0"/>
      <w:kern w:val="2"/>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Spacing"/>
    <w:next w:val="NoSpacing"/>
    <w:autoRedefine/>
    <w:uiPriority w:val="99"/>
    <w:rsid w:val="00102655"/>
    <w:pPr>
      <w:ind w:left="720"/>
      <w:jc w:val="left"/>
    </w:pPr>
    <w:rPr>
      <w:spacing w:val="0"/>
      <w:kern w:val="2"/>
      <w:szCs w:val="18"/>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paragraph" w:styleId="NoSpacing">
    <w:name w:val="No Spacing"/>
    <w:uiPriority w:val="1"/>
    <w:qFormat/>
    <w:rsid w:val="00107997"/>
  </w:style>
  <w:style w:type="character" w:customStyle="1" w:styleId="Heading1Char">
    <w:name w:val="Heading 1 Char"/>
    <w:basedOn w:val="DefaultParagraphFont"/>
    <w:link w:val="Heading1"/>
    <w:uiPriority w:val="9"/>
    <w:rsid w:val="006E00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E00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E008E"/>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E008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6E008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6E008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E008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E008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E008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E008E"/>
    <w:pPr>
      <w:spacing w:after="80"/>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rsid w:val="006E008E"/>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qFormat/>
    <w:rsid w:val="006E00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E008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6E008E"/>
    <w:pPr>
      <w:spacing w:before="160"/>
      <w:jc w:val="center"/>
    </w:pPr>
    <w:rPr>
      <w:i/>
      <w:iCs/>
      <w:color w:val="404040" w:themeColor="text1" w:themeTint="BF"/>
    </w:rPr>
  </w:style>
  <w:style w:type="character" w:customStyle="1" w:styleId="QuoteChar">
    <w:name w:val="Quote Char"/>
    <w:basedOn w:val="DefaultParagraphFont"/>
    <w:link w:val="Quote"/>
    <w:uiPriority w:val="29"/>
    <w:rsid w:val="006E008E"/>
    <w:rPr>
      <w:i/>
      <w:iCs/>
      <w:color w:val="404040" w:themeColor="text1" w:themeTint="BF"/>
    </w:rPr>
  </w:style>
  <w:style w:type="paragraph" w:styleId="ListParagraph">
    <w:name w:val="List Paragraph"/>
    <w:basedOn w:val="Normal"/>
    <w:uiPriority w:val="34"/>
    <w:qFormat/>
    <w:rsid w:val="006E008E"/>
    <w:pPr>
      <w:ind w:left="720"/>
      <w:contextualSpacing/>
    </w:pPr>
  </w:style>
  <w:style w:type="character" w:styleId="IntenseEmphasis">
    <w:name w:val="Intense Emphasis"/>
    <w:basedOn w:val="DefaultParagraphFont"/>
    <w:uiPriority w:val="21"/>
    <w:qFormat/>
    <w:rsid w:val="006E008E"/>
    <w:rPr>
      <w:i/>
      <w:iCs/>
      <w:color w:val="0F4761" w:themeColor="accent1" w:themeShade="BF"/>
    </w:rPr>
  </w:style>
  <w:style w:type="paragraph" w:styleId="IntenseQuote">
    <w:name w:val="Intense Quote"/>
    <w:basedOn w:val="Normal"/>
    <w:next w:val="Normal"/>
    <w:link w:val="IntenseQuoteChar"/>
    <w:uiPriority w:val="30"/>
    <w:qFormat/>
    <w:rsid w:val="006E00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E008E"/>
    <w:rPr>
      <w:i/>
      <w:iCs/>
      <w:color w:val="0F4761" w:themeColor="accent1" w:themeShade="BF"/>
    </w:rPr>
  </w:style>
  <w:style w:type="character" w:styleId="IntenseReference">
    <w:name w:val="Intense Reference"/>
    <w:basedOn w:val="DefaultParagraphFont"/>
    <w:uiPriority w:val="32"/>
    <w:qFormat/>
    <w:rsid w:val="006E008E"/>
    <w:rPr>
      <w:b/>
      <w:bCs/>
      <w:smallCaps/>
      <w:color w:val="0F4761" w:themeColor="accent1" w:themeShade="BF"/>
      <w:spacing w:val="5"/>
    </w:rPr>
  </w:style>
  <w:style w:type="paragraph" w:customStyle="1" w:styleId="L1-1">
    <w:name w:val="L1-1"/>
    <w:uiPriority w:val="99"/>
    <w:rsid w:val="006E008E"/>
    <w:pPr>
      <w:widowControl w:val="0"/>
      <w:autoSpaceDE w:val="0"/>
      <w:autoSpaceDN w:val="0"/>
      <w:adjustRightInd w:val="0"/>
      <w:ind w:left="1165"/>
    </w:pPr>
    <w:rPr>
      <w:rFonts w:ascii="Calibri" w:eastAsia="Times New Roman" w:hAnsi="Calibri" w:cs="Calibri"/>
      <w:spacing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211</Words>
  <Characters>1036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30</cp:revision>
  <cp:lastPrinted>2025-03-12T22:21:00Z</cp:lastPrinted>
  <dcterms:created xsi:type="dcterms:W3CDTF">2025-01-17T22:53:00Z</dcterms:created>
  <dcterms:modified xsi:type="dcterms:W3CDTF">2025-03-12T22:21:00Z</dcterms:modified>
</cp:coreProperties>
</file>