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12B3" w14:textId="713407A9" w:rsidR="007F28A8" w:rsidRPr="00B945F8" w:rsidRDefault="00A87A3D" w:rsidP="007F28A8">
      <w:pPr>
        <w:autoSpaceDE w:val="0"/>
        <w:autoSpaceDN w:val="0"/>
        <w:adjustRightInd w:val="0"/>
        <w:snapToGrid w:val="0"/>
        <w:spacing w:before="0" w:line="240" w:lineRule="auto"/>
        <w:rPr>
          <w:rFonts w:eastAsia="Times New Roman"/>
          <w:b/>
          <w:sz w:val="28"/>
          <w:szCs w:val="28"/>
        </w:rPr>
      </w:pPr>
      <w:r w:rsidRPr="00B945F8">
        <w:rPr>
          <w:rFonts w:eastAsia="Times New Roman"/>
          <w:b/>
          <w:sz w:val="28"/>
          <w:szCs w:val="28"/>
        </w:rPr>
        <w:t>4.</w:t>
      </w:r>
      <w:r w:rsidR="0093758E" w:rsidRPr="00B945F8">
        <w:rPr>
          <w:rFonts w:eastAsia="Times New Roman"/>
          <w:b/>
          <w:sz w:val="28"/>
          <w:szCs w:val="28"/>
        </w:rPr>
        <w:t>3</w:t>
      </w:r>
      <w:r w:rsidR="001403E7">
        <w:rPr>
          <w:rFonts w:eastAsia="Times New Roman"/>
          <w:b/>
          <w:sz w:val="28"/>
          <w:szCs w:val="28"/>
        </w:rPr>
        <w:t>4.</w:t>
      </w:r>
      <w:r w:rsidRPr="00B945F8">
        <w:rPr>
          <w:rFonts w:eastAsia="Times New Roman"/>
          <w:b/>
          <w:sz w:val="28"/>
          <w:szCs w:val="28"/>
        </w:rPr>
        <w:t xml:space="preserve"> Gang Membership</w:t>
      </w:r>
      <w:r w:rsidR="000E3FAE" w:rsidRPr="00B945F8">
        <w:rPr>
          <w:rFonts w:eastAsia="Times New Roman"/>
          <w:b/>
          <w:sz w:val="28"/>
          <w:szCs w:val="28"/>
        </w:rPr>
        <w:t xml:space="preserve"> and Activity</w:t>
      </w:r>
    </w:p>
    <w:p w14:paraId="7684E7F0" w14:textId="77777777" w:rsidR="007F28A8" w:rsidRPr="00B945F8" w:rsidRDefault="007F28A8" w:rsidP="007F28A8">
      <w:pPr>
        <w:autoSpaceDE w:val="0"/>
        <w:autoSpaceDN w:val="0"/>
        <w:adjustRightInd w:val="0"/>
        <w:snapToGrid w:val="0"/>
        <w:spacing w:before="0" w:line="240" w:lineRule="auto"/>
        <w:rPr>
          <w:rFonts w:eastAsia="Times New Roman"/>
          <w:b/>
          <w:bCs/>
          <w:sz w:val="28"/>
          <w:szCs w:val="28"/>
        </w:rPr>
      </w:pPr>
    </w:p>
    <w:p w14:paraId="700C2744" w14:textId="4896681C" w:rsidR="00666896" w:rsidRPr="00B945F8" w:rsidRDefault="00047A35" w:rsidP="007F28A8">
      <w:pPr>
        <w:autoSpaceDE w:val="0"/>
        <w:autoSpaceDN w:val="0"/>
        <w:adjustRightInd w:val="0"/>
        <w:snapToGrid w:val="0"/>
        <w:spacing w:before="0" w:line="240" w:lineRule="auto"/>
        <w:ind w:left="720" w:right="720"/>
        <w:jc w:val="both"/>
        <w:rPr>
          <w:rFonts w:eastAsia="Times New Roman"/>
          <w:b/>
          <w:sz w:val="28"/>
          <w:szCs w:val="28"/>
        </w:rPr>
      </w:pPr>
      <w:r w:rsidRPr="00B945F8">
        <w:rPr>
          <w:rFonts w:eastAsia="Times New Roman"/>
          <w:b/>
          <w:bCs/>
          <w:sz w:val="28"/>
          <w:szCs w:val="28"/>
        </w:rPr>
        <w:t xml:space="preserve">(1) </w:t>
      </w:r>
      <w:r w:rsidR="001876E2" w:rsidRPr="00B945F8">
        <w:rPr>
          <w:rFonts w:eastAsia="Times New Roman"/>
          <w:b/>
          <w:bCs/>
          <w:sz w:val="28"/>
          <w:szCs w:val="28"/>
        </w:rPr>
        <w:t>E</w:t>
      </w:r>
      <w:r w:rsidR="00121EBC" w:rsidRPr="00B945F8">
        <w:rPr>
          <w:rFonts w:eastAsia="Times New Roman"/>
          <w:b/>
          <w:bCs/>
          <w:sz w:val="28"/>
          <w:szCs w:val="28"/>
        </w:rPr>
        <w:t xml:space="preserve">vidence of </w:t>
      </w:r>
      <w:r w:rsidR="00FA6313" w:rsidRPr="00B945F8">
        <w:rPr>
          <w:rFonts w:eastAsia="Times New Roman"/>
          <w:b/>
          <w:bCs/>
          <w:sz w:val="28"/>
          <w:szCs w:val="28"/>
        </w:rPr>
        <w:t>gang activity and a</w:t>
      </w:r>
      <w:r w:rsidR="00121EBC" w:rsidRPr="00B945F8">
        <w:rPr>
          <w:rFonts w:eastAsia="Times New Roman"/>
          <w:b/>
          <w:bCs/>
          <w:sz w:val="28"/>
          <w:szCs w:val="28"/>
        </w:rPr>
        <w:t xml:space="preserve"> defendant’s membership in a gang </w:t>
      </w:r>
      <w:r w:rsidR="001876E2" w:rsidRPr="00B945F8">
        <w:rPr>
          <w:rFonts w:eastAsia="Times New Roman"/>
          <w:b/>
          <w:bCs/>
          <w:sz w:val="28"/>
          <w:szCs w:val="28"/>
        </w:rPr>
        <w:t xml:space="preserve">is inadmissible </w:t>
      </w:r>
      <w:r w:rsidR="006411FD" w:rsidRPr="00B945F8">
        <w:rPr>
          <w:rFonts w:eastAsia="Times New Roman"/>
          <w:b/>
          <w:bCs/>
          <w:sz w:val="28"/>
          <w:szCs w:val="28"/>
        </w:rPr>
        <w:t>if it cannot logically be connected to some specific material issue in the case</w:t>
      </w:r>
      <w:r w:rsidR="00C43D16" w:rsidRPr="00B945F8">
        <w:rPr>
          <w:rFonts w:eastAsia="Times New Roman"/>
          <w:b/>
          <w:bCs/>
          <w:sz w:val="28"/>
          <w:szCs w:val="28"/>
        </w:rPr>
        <w:t xml:space="preserve"> </w:t>
      </w:r>
      <w:r w:rsidR="006411FD" w:rsidRPr="00B945F8">
        <w:rPr>
          <w:rFonts w:eastAsia="Times New Roman"/>
          <w:b/>
          <w:bCs/>
          <w:sz w:val="28"/>
          <w:szCs w:val="28"/>
        </w:rPr>
        <w:t>and tends only to demonstrate the defendant</w:t>
      </w:r>
      <w:r w:rsidR="0033177B" w:rsidRPr="00B945F8">
        <w:rPr>
          <w:rFonts w:eastAsia="Times New Roman"/>
          <w:b/>
          <w:bCs/>
          <w:sz w:val="28"/>
          <w:szCs w:val="28"/>
        </w:rPr>
        <w:t>’</w:t>
      </w:r>
      <w:r w:rsidR="006411FD" w:rsidRPr="00B945F8">
        <w:rPr>
          <w:rFonts w:eastAsia="Times New Roman"/>
          <w:b/>
          <w:bCs/>
          <w:sz w:val="28"/>
          <w:szCs w:val="28"/>
        </w:rPr>
        <w:t>s propensity to commit the crime charged</w:t>
      </w:r>
      <w:r w:rsidR="003B6046" w:rsidRPr="00B945F8">
        <w:rPr>
          <w:rFonts w:eastAsia="Times New Roman"/>
          <w:b/>
          <w:bCs/>
          <w:sz w:val="28"/>
          <w:szCs w:val="28"/>
        </w:rPr>
        <w:t xml:space="preserve">. </w:t>
      </w:r>
      <w:r w:rsidR="00CE14BA" w:rsidRPr="00B945F8">
        <w:rPr>
          <w:rFonts w:eastAsia="Times New Roman"/>
          <w:b/>
          <w:bCs/>
          <w:sz w:val="28"/>
          <w:szCs w:val="28"/>
        </w:rPr>
        <w:t xml:space="preserve">The requisite connection </w:t>
      </w:r>
      <w:r w:rsidR="00C6535D" w:rsidRPr="00B945F8">
        <w:rPr>
          <w:rFonts w:eastAsia="Times New Roman"/>
          <w:b/>
          <w:bCs/>
          <w:sz w:val="28"/>
          <w:szCs w:val="28"/>
        </w:rPr>
        <w:t>can exist</w:t>
      </w:r>
      <w:r w:rsidR="00203615" w:rsidRPr="00B945F8">
        <w:rPr>
          <w:rFonts w:eastAsia="Times New Roman"/>
          <w:b/>
          <w:bCs/>
          <w:sz w:val="28"/>
          <w:szCs w:val="28"/>
        </w:rPr>
        <w:t xml:space="preserve"> </w:t>
      </w:r>
      <w:r w:rsidR="00FC7C9C" w:rsidRPr="00B945F8">
        <w:rPr>
          <w:rFonts w:eastAsia="Times New Roman"/>
          <w:b/>
          <w:bCs/>
          <w:sz w:val="28"/>
          <w:szCs w:val="28"/>
        </w:rPr>
        <w:t xml:space="preserve">and evidence of the defendant’s </w:t>
      </w:r>
      <w:r w:rsidR="00EA5E85" w:rsidRPr="00B945F8">
        <w:rPr>
          <w:rFonts w:eastAsia="Times New Roman"/>
          <w:b/>
          <w:bCs/>
          <w:sz w:val="28"/>
          <w:szCs w:val="28"/>
        </w:rPr>
        <w:t xml:space="preserve">gang membership </w:t>
      </w:r>
      <w:r w:rsidR="005609BC" w:rsidRPr="00B945F8">
        <w:rPr>
          <w:rFonts w:eastAsia="Times New Roman"/>
          <w:b/>
          <w:bCs/>
          <w:sz w:val="28"/>
          <w:szCs w:val="28"/>
        </w:rPr>
        <w:t>can</w:t>
      </w:r>
      <w:r w:rsidR="00EA5E85" w:rsidRPr="00B945F8">
        <w:rPr>
          <w:rFonts w:eastAsia="Times New Roman"/>
          <w:b/>
          <w:bCs/>
          <w:sz w:val="28"/>
          <w:szCs w:val="28"/>
        </w:rPr>
        <w:t xml:space="preserve"> be admitted</w:t>
      </w:r>
      <w:r w:rsidR="00F27711" w:rsidRPr="00B945F8">
        <w:rPr>
          <w:rFonts w:eastAsia="Times New Roman"/>
          <w:b/>
          <w:bCs/>
          <w:sz w:val="28"/>
          <w:szCs w:val="28"/>
        </w:rPr>
        <w:t xml:space="preserve"> </w:t>
      </w:r>
      <w:r w:rsidR="00BF2933" w:rsidRPr="00B945F8">
        <w:rPr>
          <w:rFonts w:eastAsia="Times New Roman"/>
          <w:b/>
          <w:bCs/>
          <w:sz w:val="28"/>
          <w:szCs w:val="28"/>
        </w:rPr>
        <w:t>when</w:t>
      </w:r>
      <w:r w:rsidR="00B851AF" w:rsidRPr="00B945F8">
        <w:rPr>
          <w:rFonts w:eastAsia="Times New Roman"/>
          <w:b/>
          <w:bCs/>
          <w:sz w:val="28"/>
          <w:szCs w:val="28"/>
        </w:rPr>
        <w:t xml:space="preserve"> </w:t>
      </w:r>
      <w:r w:rsidR="00080814" w:rsidRPr="00B945F8">
        <w:rPr>
          <w:rFonts w:eastAsia="Times New Roman"/>
          <w:b/>
          <w:bCs/>
          <w:sz w:val="28"/>
          <w:szCs w:val="28"/>
        </w:rPr>
        <w:t xml:space="preserve">the </w:t>
      </w:r>
      <w:r w:rsidR="00DF389A" w:rsidRPr="00B945F8">
        <w:rPr>
          <w:rFonts w:eastAsia="Times New Roman"/>
          <w:b/>
          <w:bCs/>
          <w:sz w:val="28"/>
          <w:szCs w:val="28"/>
        </w:rPr>
        <w:t xml:space="preserve">defendant’s </w:t>
      </w:r>
      <w:r w:rsidR="00717698" w:rsidRPr="00B945F8">
        <w:rPr>
          <w:rFonts w:eastAsia="Times New Roman"/>
          <w:b/>
          <w:bCs/>
          <w:sz w:val="28"/>
          <w:szCs w:val="28"/>
        </w:rPr>
        <w:t xml:space="preserve">gang </w:t>
      </w:r>
      <w:r w:rsidR="00DF389A" w:rsidRPr="00B945F8">
        <w:rPr>
          <w:rFonts w:eastAsia="Times New Roman"/>
          <w:b/>
          <w:bCs/>
          <w:sz w:val="28"/>
          <w:szCs w:val="28"/>
        </w:rPr>
        <w:t>membership</w:t>
      </w:r>
      <w:r w:rsidR="00B851AF" w:rsidRPr="00B945F8">
        <w:rPr>
          <w:rFonts w:eastAsia="Times New Roman"/>
          <w:b/>
          <w:bCs/>
          <w:sz w:val="28"/>
          <w:szCs w:val="28"/>
        </w:rPr>
        <w:t>:</w:t>
      </w:r>
      <w:r w:rsidR="00DF389A" w:rsidRPr="00B945F8">
        <w:rPr>
          <w:rFonts w:eastAsia="Times New Roman"/>
          <w:b/>
          <w:bCs/>
          <w:sz w:val="28"/>
          <w:szCs w:val="28"/>
        </w:rPr>
        <w:t xml:space="preserve"> </w:t>
      </w:r>
      <w:r w:rsidR="00B851AF" w:rsidRPr="00B945F8">
        <w:rPr>
          <w:rFonts w:eastAsia="Times New Roman"/>
          <w:b/>
          <w:bCs/>
          <w:sz w:val="28"/>
          <w:szCs w:val="28"/>
        </w:rPr>
        <w:t xml:space="preserve">(a) </w:t>
      </w:r>
      <w:r w:rsidR="00DF389A" w:rsidRPr="00B945F8">
        <w:rPr>
          <w:rFonts w:eastAsia="Times New Roman"/>
          <w:b/>
          <w:bCs/>
          <w:sz w:val="28"/>
          <w:szCs w:val="28"/>
        </w:rPr>
        <w:t xml:space="preserve">provides </w:t>
      </w:r>
      <w:r w:rsidR="00DF4429" w:rsidRPr="00B945F8">
        <w:rPr>
          <w:rFonts w:eastAsia="Times New Roman"/>
          <w:b/>
          <w:bCs/>
          <w:sz w:val="28"/>
          <w:szCs w:val="28"/>
        </w:rPr>
        <w:t>a motive for the crime charged</w:t>
      </w:r>
      <w:r w:rsidR="0060302B" w:rsidRPr="00B945F8">
        <w:rPr>
          <w:rFonts w:eastAsia="Times New Roman"/>
          <w:b/>
          <w:bCs/>
          <w:sz w:val="28"/>
          <w:szCs w:val="28"/>
        </w:rPr>
        <w:t>;</w:t>
      </w:r>
      <w:r w:rsidR="00DF4429" w:rsidRPr="00B945F8">
        <w:rPr>
          <w:rFonts w:eastAsia="Times New Roman"/>
          <w:b/>
          <w:bCs/>
          <w:sz w:val="28"/>
          <w:szCs w:val="28"/>
        </w:rPr>
        <w:t xml:space="preserve"> </w:t>
      </w:r>
      <w:r w:rsidR="003C5269" w:rsidRPr="00B945F8">
        <w:rPr>
          <w:rFonts w:eastAsia="Times New Roman"/>
          <w:b/>
          <w:bCs/>
          <w:sz w:val="28"/>
          <w:szCs w:val="28"/>
        </w:rPr>
        <w:t xml:space="preserve">or </w:t>
      </w:r>
      <w:r w:rsidR="00F27711" w:rsidRPr="00B945F8">
        <w:rPr>
          <w:rFonts w:eastAsia="Times New Roman"/>
          <w:b/>
          <w:bCs/>
          <w:sz w:val="28"/>
          <w:szCs w:val="28"/>
        </w:rPr>
        <w:t>(b)</w:t>
      </w:r>
      <w:r w:rsidR="00080814" w:rsidRPr="00B945F8">
        <w:rPr>
          <w:rFonts w:eastAsia="Times New Roman"/>
          <w:b/>
          <w:bCs/>
          <w:sz w:val="28"/>
          <w:szCs w:val="28"/>
        </w:rPr>
        <w:t xml:space="preserve"> </w:t>
      </w:r>
      <w:r w:rsidR="00943571" w:rsidRPr="00B945F8">
        <w:rPr>
          <w:rFonts w:eastAsia="Times New Roman"/>
          <w:b/>
          <w:bCs/>
          <w:sz w:val="28"/>
          <w:szCs w:val="28"/>
        </w:rPr>
        <w:t>is inextricably interwoven with a charged crime</w:t>
      </w:r>
      <w:r w:rsidR="0060302B" w:rsidRPr="00B945F8">
        <w:rPr>
          <w:rFonts w:eastAsia="Times New Roman"/>
          <w:b/>
          <w:bCs/>
          <w:sz w:val="28"/>
          <w:szCs w:val="28"/>
        </w:rPr>
        <w:t>;</w:t>
      </w:r>
      <w:r w:rsidR="00943571" w:rsidRPr="00B945F8">
        <w:rPr>
          <w:rFonts w:eastAsia="Times New Roman"/>
          <w:b/>
          <w:bCs/>
          <w:sz w:val="28"/>
          <w:szCs w:val="28"/>
        </w:rPr>
        <w:t xml:space="preserve"> or </w:t>
      </w:r>
      <w:r w:rsidR="00042FE7" w:rsidRPr="00B945F8">
        <w:rPr>
          <w:rFonts w:eastAsia="Times New Roman"/>
          <w:b/>
          <w:bCs/>
          <w:sz w:val="28"/>
          <w:szCs w:val="28"/>
        </w:rPr>
        <w:t xml:space="preserve">(c) </w:t>
      </w:r>
      <w:r w:rsidR="00943571" w:rsidRPr="00B945F8">
        <w:rPr>
          <w:rFonts w:eastAsia="Times New Roman"/>
          <w:b/>
          <w:bCs/>
          <w:sz w:val="28"/>
          <w:szCs w:val="28"/>
        </w:rPr>
        <w:t xml:space="preserve">is necessary to explain the relationships of the individuals involved or otherwise necessary to </w:t>
      </w:r>
      <w:r w:rsidR="00B44811" w:rsidRPr="00B945F8">
        <w:rPr>
          <w:rFonts w:eastAsia="Times New Roman"/>
          <w:b/>
          <w:bCs/>
          <w:sz w:val="28"/>
          <w:szCs w:val="28"/>
        </w:rPr>
        <w:t>provide background information relevant to the commission of the crime or its participants</w:t>
      </w:r>
      <w:r w:rsidR="0060302B" w:rsidRPr="00B945F8">
        <w:rPr>
          <w:rFonts w:eastAsia="Times New Roman"/>
          <w:b/>
          <w:bCs/>
          <w:sz w:val="28"/>
          <w:szCs w:val="28"/>
        </w:rPr>
        <w:t xml:space="preserve">; </w:t>
      </w:r>
      <w:r w:rsidR="0060302B" w:rsidRPr="00B945F8">
        <w:rPr>
          <w:rFonts w:eastAsia="Times New Roman"/>
          <w:b/>
          <w:bCs/>
          <w:i/>
          <w:iCs/>
          <w:sz w:val="28"/>
          <w:szCs w:val="28"/>
        </w:rPr>
        <w:t>and</w:t>
      </w:r>
      <w:r w:rsidR="0060302B" w:rsidRPr="00B945F8">
        <w:rPr>
          <w:rFonts w:eastAsia="Times New Roman"/>
          <w:b/>
          <w:bCs/>
          <w:sz w:val="28"/>
          <w:szCs w:val="28"/>
        </w:rPr>
        <w:t xml:space="preserve"> </w:t>
      </w:r>
      <w:r w:rsidR="00042FE7" w:rsidRPr="00B945F8">
        <w:rPr>
          <w:rFonts w:eastAsia="Times New Roman"/>
          <w:b/>
          <w:bCs/>
          <w:sz w:val="28"/>
          <w:szCs w:val="28"/>
        </w:rPr>
        <w:t>(d)</w:t>
      </w:r>
      <w:r w:rsidR="0060302B" w:rsidRPr="00B945F8">
        <w:rPr>
          <w:rFonts w:eastAsia="Times New Roman"/>
          <w:b/>
          <w:bCs/>
          <w:sz w:val="28"/>
          <w:szCs w:val="28"/>
        </w:rPr>
        <w:t xml:space="preserve"> </w:t>
      </w:r>
      <w:r w:rsidR="00807B4B" w:rsidRPr="00B945F8">
        <w:rPr>
          <w:rFonts w:eastAsia="Times New Roman"/>
          <w:b/>
          <w:bCs/>
          <w:sz w:val="28"/>
          <w:szCs w:val="28"/>
        </w:rPr>
        <w:t xml:space="preserve">the </w:t>
      </w:r>
      <w:bookmarkStart w:id="0" w:name="_Hlk110783686"/>
      <w:r w:rsidR="00666535" w:rsidRPr="00B945F8">
        <w:rPr>
          <w:rFonts w:eastAsia="Times New Roman"/>
          <w:b/>
          <w:bCs/>
          <w:sz w:val="28"/>
          <w:szCs w:val="28"/>
        </w:rPr>
        <w:t>probative value of the evidence</w:t>
      </w:r>
      <w:r w:rsidR="00080814" w:rsidRPr="00B945F8">
        <w:rPr>
          <w:rFonts w:eastAsia="Times New Roman"/>
          <w:b/>
          <w:bCs/>
          <w:sz w:val="28"/>
          <w:szCs w:val="28"/>
        </w:rPr>
        <w:t xml:space="preserve"> </w:t>
      </w:r>
      <w:r w:rsidR="00666535" w:rsidRPr="00B945F8">
        <w:rPr>
          <w:rFonts w:eastAsia="Times New Roman"/>
          <w:b/>
          <w:bCs/>
          <w:sz w:val="28"/>
          <w:szCs w:val="28"/>
        </w:rPr>
        <w:t>outweigh</w:t>
      </w:r>
      <w:r w:rsidR="00D314A2" w:rsidRPr="00B945F8">
        <w:rPr>
          <w:rFonts w:eastAsia="Times New Roman"/>
          <w:b/>
          <w:bCs/>
          <w:sz w:val="28"/>
          <w:szCs w:val="28"/>
        </w:rPr>
        <w:t>s</w:t>
      </w:r>
      <w:r w:rsidR="00666535" w:rsidRPr="00B945F8">
        <w:rPr>
          <w:rFonts w:eastAsia="Times New Roman"/>
          <w:b/>
          <w:bCs/>
          <w:sz w:val="28"/>
          <w:szCs w:val="28"/>
        </w:rPr>
        <w:t xml:space="preserve"> </w:t>
      </w:r>
      <w:r w:rsidR="005162D9" w:rsidRPr="00B945F8">
        <w:rPr>
          <w:rFonts w:eastAsia="Times New Roman"/>
          <w:b/>
          <w:bCs/>
          <w:sz w:val="28"/>
          <w:szCs w:val="28"/>
        </w:rPr>
        <w:t>its prejudicial effect</w:t>
      </w:r>
      <w:bookmarkEnd w:id="0"/>
      <w:r w:rsidR="005162D9" w:rsidRPr="00B945F8">
        <w:rPr>
          <w:rFonts w:eastAsia="Times New Roman"/>
          <w:b/>
          <w:bCs/>
          <w:sz w:val="28"/>
          <w:szCs w:val="28"/>
        </w:rPr>
        <w:t>.</w:t>
      </w:r>
    </w:p>
    <w:p w14:paraId="5347E66D" w14:textId="77777777" w:rsidR="00047A35" w:rsidRPr="00B945F8" w:rsidRDefault="00047A35" w:rsidP="007F28A8">
      <w:pPr>
        <w:shd w:val="clear" w:color="auto" w:fill="FFFFFF"/>
        <w:spacing w:before="0" w:line="240" w:lineRule="auto"/>
        <w:ind w:right="720"/>
        <w:jc w:val="both"/>
        <w:rPr>
          <w:rFonts w:eastAsia="Times New Roman"/>
          <w:b/>
          <w:bCs/>
          <w:sz w:val="28"/>
          <w:szCs w:val="28"/>
        </w:rPr>
      </w:pPr>
    </w:p>
    <w:p w14:paraId="3AF97B70" w14:textId="596E33CD" w:rsidR="00824644" w:rsidRPr="00B945F8" w:rsidRDefault="00047A35" w:rsidP="007F28A8">
      <w:pPr>
        <w:shd w:val="clear" w:color="auto" w:fill="FFFFFF"/>
        <w:spacing w:before="0" w:line="240" w:lineRule="auto"/>
        <w:ind w:left="720" w:right="720"/>
        <w:jc w:val="both"/>
        <w:rPr>
          <w:rFonts w:eastAsia="Times New Roman"/>
          <w:sz w:val="28"/>
          <w:szCs w:val="28"/>
        </w:rPr>
      </w:pPr>
      <w:r w:rsidRPr="00B945F8">
        <w:rPr>
          <w:rFonts w:eastAsia="Times New Roman"/>
          <w:b/>
          <w:bCs/>
          <w:sz w:val="28"/>
          <w:szCs w:val="28"/>
        </w:rPr>
        <w:t xml:space="preserve">(2) </w:t>
      </w:r>
      <w:r w:rsidR="00643D75" w:rsidRPr="00B945F8">
        <w:rPr>
          <w:rFonts w:eastAsia="Times New Roman"/>
          <w:b/>
          <w:bCs/>
          <w:sz w:val="28"/>
          <w:szCs w:val="28"/>
        </w:rPr>
        <w:t xml:space="preserve">When </w:t>
      </w:r>
      <w:r w:rsidRPr="00B945F8">
        <w:rPr>
          <w:rFonts w:eastAsia="Times New Roman"/>
          <w:b/>
          <w:bCs/>
          <w:sz w:val="28"/>
          <w:szCs w:val="28"/>
        </w:rPr>
        <w:t xml:space="preserve">evidence </w:t>
      </w:r>
      <w:r w:rsidR="00DB41D7" w:rsidRPr="00B945F8">
        <w:rPr>
          <w:rFonts w:eastAsia="Times New Roman"/>
          <w:b/>
          <w:bCs/>
          <w:sz w:val="28"/>
          <w:szCs w:val="28"/>
        </w:rPr>
        <w:t>of gang membership reveals</w:t>
      </w:r>
      <w:r w:rsidR="00643D75" w:rsidRPr="00B945F8">
        <w:rPr>
          <w:rFonts w:eastAsia="Times New Roman"/>
          <w:b/>
          <w:bCs/>
          <w:sz w:val="28"/>
          <w:szCs w:val="28"/>
        </w:rPr>
        <w:t>, directly or indirectly,</w:t>
      </w:r>
      <w:r w:rsidR="006B62C7" w:rsidRPr="00B945F8">
        <w:rPr>
          <w:rFonts w:eastAsia="Times New Roman"/>
          <w:b/>
          <w:bCs/>
          <w:sz w:val="28"/>
          <w:szCs w:val="28"/>
        </w:rPr>
        <w:t xml:space="preserve"> the commission of</w:t>
      </w:r>
      <w:r w:rsidR="00DB41D7" w:rsidRPr="00B945F8">
        <w:rPr>
          <w:rFonts w:eastAsia="Times New Roman"/>
          <w:b/>
          <w:bCs/>
          <w:sz w:val="28"/>
          <w:szCs w:val="28"/>
        </w:rPr>
        <w:t xml:space="preserve"> crimes, wrongs, or other </w:t>
      </w:r>
      <w:r w:rsidR="00460B0D" w:rsidRPr="00B945F8">
        <w:rPr>
          <w:rFonts w:eastAsia="Times New Roman"/>
          <w:b/>
          <w:bCs/>
          <w:sz w:val="28"/>
          <w:szCs w:val="28"/>
        </w:rPr>
        <w:t xml:space="preserve">bad </w:t>
      </w:r>
      <w:r w:rsidR="00DB41D7" w:rsidRPr="00B945F8">
        <w:rPr>
          <w:rFonts w:eastAsia="Times New Roman"/>
          <w:b/>
          <w:bCs/>
          <w:sz w:val="28"/>
          <w:szCs w:val="28"/>
        </w:rPr>
        <w:t>acts</w:t>
      </w:r>
      <w:r w:rsidR="00DA2FCA" w:rsidRPr="00B945F8">
        <w:rPr>
          <w:rFonts w:eastAsia="Times New Roman"/>
          <w:b/>
          <w:bCs/>
          <w:sz w:val="28"/>
          <w:szCs w:val="28"/>
        </w:rPr>
        <w:t>, a limiting instruction</w:t>
      </w:r>
      <w:r w:rsidR="009E079A" w:rsidRPr="00B945F8">
        <w:rPr>
          <w:rFonts w:eastAsia="Times New Roman"/>
          <w:b/>
          <w:bCs/>
          <w:sz w:val="28"/>
          <w:szCs w:val="28"/>
        </w:rPr>
        <w:t xml:space="preserve"> on the reason </w:t>
      </w:r>
      <w:r w:rsidR="00172C2E" w:rsidRPr="00B945F8">
        <w:rPr>
          <w:rFonts w:eastAsia="Times New Roman"/>
          <w:b/>
          <w:bCs/>
          <w:sz w:val="28"/>
          <w:szCs w:val="28"/>
        </w:rPr>
        <w:t xml:space="preserve">for </w:t>
      </w:r>
      <w:r w:rsidR="00220FB7" w:rsidRPr="00B945F8">
        <w:rPr>
          <w:rFonts w:eastAsia="Times New Roman"/>
          <w:b/>
          <w:bCs/>
          <w:sz w:val="28"/>
          <w:szCs w:val="28"/>
        </w:rPr>
        <w:t xml:space="preserve">and use of </w:t>
      </w:r>
      <w:r w:rsidR="009E079A" w:rsidRPr="00B945F8">
        <w:rPr>
          <w:rFonts w:eastAsia="Times New Roman"/>
          <w:b/>
          <w:bCs/>
          <w:sz w:val="28"/>
          <w:szCs w:val="28"/>
        </w:rPr>
        <w:t xml:space="preserve">the evidence </w:t>
      </w:r>
      <w:r w:rsidR="00220FB7" w:rsidRPr="00B945F8">
        <w:rPr>
          <w:rFonts w:eastAsia="Times New Roman"/>
          <w:b/>
          <w:bCs/>
          <w:sz w:val="28"/>
          <w:szCs w:val="28"/>
        </w:rPr>
        <w:t>is warranted.</w:t>
      </w:r>
    </w:p>
    <w:p w14:paraId="365B852B" w14:textId="77777777" w:rsidR="00220FB7" w:rsidRPr="00B945F8" w:rsidRDefault="00220FB7" w:rsidP="007F28A8">
      <w:pPr>
        <w:shd w:val="clear" w:color="auto" w:fill="FFFFFF"/>
        <w:spacing w:before="0" w:line="240" w:lineRule="auto"/>
        <w:ind w:right="720"/>
        <w:jc w:val="both"/>
        <w:rPr>
          <w:rFonts w:eastAsia="Times New Roman"/>
          <w:b/>
          <w:bCs/>
          <w:sz w:val="28"/>
          <w:szCs w:val="28"/>
        </w:rPr>
      </w:pPr>
    </w:p>
    <w:p w14:paraId="5A49F6BA" w14:textId="37E361F6" w:rsidR="00131C72" w:rsidRPr="00B945F8" w:rsidRDefault="00131C72" w:rsidP="007F28A8">
      <w:pPr>
        <w:shd w:val="clear" w:color="auto" w:fill="FFFFFF"/>
        <w:spacing w:before="0" w:line="240" w:lineRule="auto"/>
        <w:jc w:val="center"/>
        <w:rPr>
          <w:rFonts w:eastAsia="Times New Roman"/>
          <w:b/>
          <w:bCs/>
        </w:rPr>
      </w:pPr>
      <w:r w:rsidRPr="00B945F8">
        <w:rPr>
          <w:rFonts w:eastAsia="Times New Roman"/>
          <w:b/>
          <w:bCs/>
        </w:rPr>
        <w:t>Note</w:t>
      </w:r>
    </w:p>
    <w:p w14:paraId="7A811D4C" w14:textId="77777777" w:rsidR="00131C72" w:rsidRPr="00B945F8" w:rsidRDefault="00131C72" w:rsidP="00306EA2">
      <w:pPr>
        <w:shd w:val="clear" w:color="auto" w:fill="FFFFFF"/>
        <w:spacing w:before="0" w:line="240" w:lineRule="auto"/>
        <w:rPr>
          <w:rFonts w:eastAsia="Times New Roman"/>
        </w:rPr>
      </w:pPr>
    </w:p>
    <w:p w14:paraId="13193F5D" w14:textId="78122D3C" w:rsidR="00AA7FA7" w:rsidRPr="00B945F8" w:rsidRDefault="00131C72" w:rsidP="007F28A8">
      <w:pPr>
        <w:shd w:val="clear" w:color="auto" w:fill="FFFFFF"/>
        <w:spacing w:before="0" w:line="240" w:lineRule="auto"/>
        <w:jc w:val="both"/>
        <w:rPr>
          <w:rFonts w:eastAsia="Times New Roman"/>
        </w:rPr>
      </w:pPr>
      <w:r w:rsidRPr="00B945F8">
        <w:rPr>
          <w:rFonts w:eastAsia="Times New Roman"/>
        </w:rPr>
        <w:tab/>
      </w:r>
      <w:r w:rsidRPr="00B945F8">
        <w:rPr>
          <w:rFonts w:eastAsia="Times New Roman"/>
          <w:b/>
          <w:bCs/>
        </w:rPr>
        <w:t>Subdivision (1)</w:t>
      </w:r>
      <w:r w:rsidR="00306EA2" w:rsidRPr="00B945F8">
        <w:rPr>
          <w:rFonts w:eastAsia="Times New Roman"/>
        </w:rPr>
        <w:t>.</w:t>
      </w:r>
      <w:r w:rsidR="003B6046" w:rsidRPr="00B945F8">
        <w:rPr>
          <w:rFonts w:eastAsia="Times New Roman"/>
          <w:b/>
          <w:bCs/>
        </w:rPr>
        <w:t xml:space="preserve"> </w:t>
      </w:r>
      <w:r w:rsidR="003B6046" w:rsidRPr="00B945F8">
        <w:rPr>
          <w:rFonts w:eastAsia="Times New Roman"/>
        </w:rPr>
        <w:t xml:space="preserve">Evidence of </w:t>
      </w:r>
      <w:r w:rsidR="00AC49BB" w:rsidRPr="00B945F8">
        <w:rPr>
          <w:rFonts w:eastAsia="Times New Roman"/>
        </w:rPr>
        <w:t xml:space="preserve">gang activity and </w:t>
      </w:r>
      <w:r w:rsidR="0086781A" w:rsidRPr="00B945F8">
        <w:rPr>
          <w:rFonts w:eastAsia="Times New Roman"/>
        </w:rPr>
        <w:t xml:space="preserve">a </w:t>
      </w:r>
      <w:r w:rsidR="003B6046" w:rsidRPr="00B945F8">
        <w:rPr>
          <w:rFonts w:eastAsia="Times New Roman"/>
        </w:rPr>
        <w:t xml:space="preserve">defendant’s membership in a gang </w:t>
      </w:r>
      <w:r w:rsidR="007C6E5F" w:rsidRPr="00B945F8">
        <w:rPr>
          <w:rFonts w:eastAsia="Times New Roman"/>
        </w:rPr>
        <w:t xml:space="preserve">normally </w:t>
      </w:r>
      <w:r w:rsidR="003B6046" w:rsidRPr="00B945F8">
        <w:rPr>
          <w:rFonts w:eastAsia="Times New Roman"/>
        </w:rPr>
        <w:t>will reveal, directly or indirectly, the commission of crimes</w:t>
      </w:r>
      <w:r w:rsidR="003B6046" w:rsidRPr="00B945F8">
        <w:rPr>
          <w:rFonts w:eastAsia="Times New Roman"/>
          <w:b/>
          <w:bCs/>
        </w:rPr>
        <w:t xml:space="preserve"> </w:t>
      </w:r>
      <w:r w:rsidR="003B6046" w:rsidRPr="00B945F8">
        <w:rPr>
          <w:rFonts w:eastAsia="Times New Roman"/>
        </w:rPr>
        <w:t xml:space="preserve">or bad acts and thus analytically whether to admit the evidence or not falls under the umbrella of </w:t>
      </w:r>
      <w:r w:rsidR="003B6046" w:rsidRPr="00B945F8">
        <w:rPr>
          <w:rFonts w:eastAsia="Times New Roman"/>
          <w:i/>
          <w:iCs/>
        </w:rPr>
        <w:t xml:space="preserve">People v Molineux </w:t>
      </w:r>
      <w:r w:rsidR="00804888" w:rsidRPr="00B945F8">
        <w:rPr>
          <w:rFonts w:eastAsia="Times New Roman"/>
        </w:rPr>
        <w:t>(</w:t>
      </w:r>
      <w:r w:rsidR="003B6046" w:rsidRPr="00B945F8">
        <w:rPr>
          <w:rFonts w:eastAsia="Times New Roman"/>
        </w:rPr>
        <w:t>168 NY 264 [1901]</w:t>
      </w:r>
      <w:r w:rsidR="00804888" w:rsidRPr="00B945F8">
        <w:rPr>
          <w:rFonts w:eastAsia="Times New Roman"/>
        </w:rPr>
        <w:t xml:space="preserve">; </w:t>
      </w:r>
      <w:r w:rsidR="003865E4" w:rsidRPr="00B945F8">
        <w:rPr>
          <w:rFonts w:eastAsia="Times New Roman"/>
          <w:i/>
          <w:iCs/>
        </w:rPr>
        <w:t>People v</w:t>
      </w:r>
      <w:r w:rsidR="003865E4" w:rsidRPr="00B945F8">
        <w:rPr>
          <w:rFonts w:eastAsia="Times New Roman"/>
        </w:rPr>
        <w:t xml:space="preserve"> </w:t>
      </w:r>
      <w:r w:rsidR="003B6046" w:rsidRPr="00B945F8">
        <w:rPr>
          <w:rFonts w:eastAsia="Times New Roman"/>
          <w:i/>
          <w:iCs/>
        </w:rPr>
        <w:t>Bailey</w:t>
      </w:r>
      <w:r w:rsidR="00AC2448" w:rsidRPr="00B945F8">
        <w:rPr>
          <w:rFonts w:eastAsia="Times New Roman"/>
        </w:rPr>
        <w:t>,</w:t>
      </w:r>
      <w:r w:rsidR="003865E4" w:rsidRPr="00B945F8">
        <w:rPr>
          <w:rFonts w:eastAsia="Times New Roman"/>
          <w:i/>
          <w:iCs/>
        </w:rPr>
        <w:t xml:space="preserve"> </w:t>
      </w:r>
      <w:r w:rsidR="00AC2448" w:rsidRPr="00B945F8">
        <w:rPr>
          <w:rFonts w:eastAsia="Times New Roman"/>
        </w:rPr>
        <w:t>32 NY3d 70, 83 [2018]</w:t>
      </w:r>
      <w:r w:rsidR="00287614" w:rsidRPr="00B945F8">
        <w:rPr>
          <w:rFonts w:eastAsia="Times New Roman"/>
        </w:rPr>
        <w:t>).</w:t>
      </w:r>
      <w:r w:rsidR="00804888" w:rsidRPr="00B945F8">
        <w:rPr>
          <w:rFonts w:eastAsia="Times New Roman"/>
        </w:rPr>
        <w:t xml:space="preserve"> </w:t>
      </w:r>
      <w:r w:rsidR="00911319" w:rsidRPr="00B945F8">
        <w:rPr>
          <w:rFonts w:eastAsia="Times New Roman"/>
        </w:rPr>
        <w:t xml:space="preserve">In short, that means that evidence of </w:t>
      </w:r>
      <w:r w:rsidR="00AC49BB" w:rsidRPr="00B945F8">
        <w:rPr>
          <w:rFonts w:eastAsia="Times New Roman"/>
        </w:rPr>
        <w:t>gang activity and a</w:t>
      </w:r>
      <w:r w:rsidR="00911319" w:rsidRPr="00B945F8">
        <w:rPr>
          <w:rFonts w:eastAsia="Times New Roman"/>
        </w:rPr>
        <w:t xml:space="preserve"> defendant’s gang membership will not be admissible “</w:t>
      </w:r>
      <w:bookmarkStart w:id="1" w:name="_Hlk110784667"/>
      <w:r w:rsidR="00911319" w:rsidRPr="00B945F8">
        <w:rPr>
          <w:rFonts w:eastAsia="Times New Roman"/>
        </w:rPr>
        <w:t>if it cannot logically be connected to some specific material issue in the case, and tends only to demonstrate the defendant</w:t>
      </w:r>
      <w:r w:rsidR="0033177B" w:rsidRPr="00B945F8">
        <w:rPr>
          <w:rFonts w:eastAsia="Times New Roman"/>
        </w:rPr>
        <w:t>’</w:t>
      </w:r>
      <w:r w:rsidR="00911319" w:rsidRPr="00B945F8">
        <w:rPr>
          <w:rFonts w:eastAsia="Times New Roman"/>
        </w:rPr>
        <w:t>s propensity to commit the crime charged</w:t>
      </w:r>
      <w:r w:rsidR="00B43BA4" w:rsidRPr="00B945F8">
        <w:rPr>
          <w:rFonts w:eastAsia="Times New Roman"/>
        </w:rPr>
        <w:t>,</w:t>
      </w:r>
      <w:r w:rsidR="00911319" w:rsidRPr="00B945F8">
        <w:rPr>
          <w:rFonts w:eastAsia="Times New Roman"/>
        </w:rPr>
        <w:t>”</w:t>
      </w:r>
      <w:bookmarkEnd w:id="1"/>
      <w:r w:rsidR="00911319" w:rsidRPr="00B945F8">
        <w:rPr>
          <w:rFonts w:eastAsia="Times New Roman"/>
        </w:rPr>
        <w:t xml:space="preserve"> and the probative value of the evidence does not outweigh its prejudicial effect</w:t>
      </w:r>
      <w:r w:rsidR="00455CCE" w:rsidRPr="00B945F8">
        <w:rPr>
          <w:rFonts w:eastAsia="Times New Roman"/>
        </w:rPr>
        <w:t xml:space="preserve"> </w:t>
      </w:r>
      <w:r w:rsidR="00911319" w:rsidRPr="00B945F8">
        <w:rPr>
          <w:rFonts w:eastAsia="Times New Roman"/>
        </w:rPr>
        <w:t>(</w:t>
      </w:r>
      <w:r w:rsidR="00E56848" w:rsidRPr="00B945F8">
        <w:rPr>
          <w:rFonts w:eastAsia="Times New Roman"/>
          <w:i/>
          <w:iCs/>
        </w:rPr>
        <w:t>People v Kims</w:t>
      </w:r>
      <w:r w:rsidR="00E56848" w:rsidRPr="00B945F8">
        <w:rPr>
          <w:rFonts w:eastAsia="Times New Roman"/>
        </w:rPr>
        <w:t xml:space="preserve">, 24 NY3d 422, 438 </w:t>
      </w:r>
      <w:r w:rsidR="00A24A8A" w:rsidRPr="00B945F8">
        <w:rPr>
          <w:rFonts w:eastAsia="Times New Roman"/>
        </w:rPr>
        <w:t>[</w:t>
      </w:r>
      <w:r w:rsidR="00E56848" w:rsidRPr="00B945F8">
        <w:rPr>
          <w:rFonts w:eastAsia="Times New Roman"/>
        </w:rPr>
        <w:t>2014</w:t>
      </w:r>
      <w:r w:rsidR="00A24A8A" w:rsidRPr="00B945F8">
        <w:rPr>
          <w:rFonts w:eastAsia="Times New Roman"/>
        </w:rPr>
        <w:t>]</w:t>
      </w:r>
      <w:r w:rsidR="00455CCE" w:rsidRPr="00B945F8">
        <w:rPr>
          <w:rFonts w:eastAsia="Times New Roman"/>
        </w:rPr>
        <w:t xml:space="preserve">; </w:t>
      </w:r>
      <w:r w:rsidR="00455CCE" w:rsidRPr="00B945F8">
        <w:rPr>
          <w:rFonts w:eastAsia="Times New Roman"/>
          <w:i/>
          <w:iCs/>
        </w:rPr>
        <w:t>s</w:t>
      </w:r>
      <w:r w:rsidR="00727795" w:rsidRPr="00B945F8">
        <w:rPr>
          <w:rFonts w:eastAsia="Times New Roman"/>
          <w:i/>
          <w:iCs/>
        </w:rPr>
        <w:t>ee</w:t>
      </w:r>
      <w:r w:rsidR="00911319" w:rsidRPr="00B945F8">
        <w:rPr>
          <w:rFonts w:eastAsia="Times New Roman"/>
          <w:i/>
          <w:iCs/>
        </w:rPr>
        <w:t xml:space="preserve"> </w:t>
      </w:r>
      <w:r w:rsidR="00D96871" w:rsidRPr="00B945F8">
        <w:rPr>
          <w:rFonts w:eastAsia="Times New Roman"/>
          <w:i/>
          <w:iCs/>
        </w:rPr>
        <w:t>Bailey</w:t>
      </w:r>
      <w:r w:rsidR="00D96871" w:rsidRPr="00B945F8">
        <w:rPr>
          <w:rFonts w:eastAsia="Times New Roman"/>
        </w:rPr>
        <w:t xml:space="preserve">, 32 NY3d </w:t>
      </w:r>
      <w:r w:rsidR="003D60A6" w:rsidRPr="00B945F8">
        <w:rPr>
          <w:rFonts w:eastAsia="Times New Roman"/>
        </w:rPr>
        <w:t>at</w:t>
      </w:r>
      <w:r w:rsidR="00D96871" w:rsidRPr="00B945F8">
        <w:rPr>
          <w:rFonts w:eastAsia="Times New Roman"/>
        </w:rPr>
        <w:t xml:space="preserve"> 83</w:t>
      </w:r>
      <w:r w:rsidR="00727795" w:rsidRPr="00B945F8">
        <w:rPr>
          <w:rFonts w:eastAsia="Times New Roman"/>
        </w:rPr>
        <w:t>;</w:t>
      </w:r>
      <w:r w:rsidR="00AA7FA7" w:rsidRPr="00B945F8">
        <w:rPr>
          <w:rFonts w:eastAsia="Times New Roman"/>
        </w:rPr>
        <w:t xml:space="preserve"> </w:t>
      </w:r>
      <w:r w:rsidR="00C1271F" w:rsidRPr="00B945F8">
        <w:rPr>
          <w:rFonts w:eastAsia="Times New Roman"/>
          <w:i/>
          <w:iCs/>
        </w:rPr>
        <w:t>People v Boxill</w:t>
      </w:r>
      <w:r w:rsidR="00C1271F" w:rsidRPr="00B945F8">
        <w:rPr>
          <w:rFonts w:eastAsia="Times New Roman"/>
        </w:rPr>
        <w:t xml:space="preserve">, </w:t>
      </w:r>
      <w:r w:rsidR="00AA7FA7" w:rsidRPr="00B945F8">
        <w:rPr>
          <w:rFonts w:eastAsia="Times New Roman"/>
        </w:rPr>
        <w:t>111 AD2d 399, 401</w:t>
      </w:r>
      <w:r w:rsidR="000022E8" w:rsidRPr="00B945F8">
        <w:rPr>
          <w:rFonts w:eastAsia="Times New Roman"/>
        </w:rPr>
        <w:t xml:space="preserve"> [2d Dept 198</w:t>
      </w:r>
      <w:r w:rsidR="00A453BF" w:rsidRPr="00B945F8">
        <w:rPr>
          <w:rFonts w:eastAsia="Times New Roman"/>
        </w:rPr>
        <w:t>5</w:t>
      </w:r>
      <w:r w:rsidR="000022E8" w:rsidRPr="00B945F8">
        <w:rPr>
          <w:rFonts w:eastAsia="Times New Roman"/>
        </w:rPr>
        <w:t>]</w:t>
      </w:r>
      <w:r w:rsidR="00566008" w:rsidRPr="00B945F8">
        <w:rPr>
          <w:rFonts w:eastAsia="Times New Roman"/>
        </w:rPr>
        <w:t>,</w:t>
      </w:r>
      <w:r w:rsidR="00AA7FA7" w:rsidRPr="00B945F8">
        <w:rPr>
          <w:rFonts w:eastAsia="Times New Roman"/>
        </w:rPr>
        <w:t xml:space="preserve"> </w:t>
      </w:r>
      <w:r w:rsidR="00C1271F" w:rsidRPr="00B945F8">
        <w:rPr>
          <w:rFonts w:eastAsia="Times New Roman"/>
          <w:i/>
          <w:iCs/>
        </w:rPr>
        <w:t xml:space="preserve">affd </w:t>
      </w:r>
      <w:r w:rsidR="00BA4C9D" w:rsidRPr="00B945F8">
        <w:rPr>
          <w:rFonts w:eastAsia="Times New Roman"/>
          <w:i/>
          <w:iCs/>
        </w:rPr>
        <w:t>for reasons stated in mem of</w:t>
      </w:r>
      <w:r w:rsidR="00455CCE" w:rsidRPr="00B945F8">
        <w:rPr>
          <w:rFonts w:eastAsia="Times New Roman"/>
          <w:i/>
          <w:iCs/>
        </w:rPr>
        <w:t xml:space="preserve"> </w:t>
      </w:r>
      <w:r w:rsidR="00BA4C9D" w:rsidRPr="00B945F8">
        <w:rPr>
          <w:rFonts w:eastAsia="Times New Roman"/>
          <w:i/>
          <w:iCs/>
        </w:rPr>
        <w:t>App Div</w:t>
      </w:r>
      <w:r w:rsidR="00455CCE" w:rsidRPr="00B945F8">
        <w:rPr>
          <w:rFonts w:eastAsia="Times New Roman"/>
          <w:i/>
          <w:iCs/>
        </w:rPr>
        <w:t xml:space="preserve"> </w:t>
      </w:r>
      <w:r w:rsidR="00566008" w:rsidRPr="00B945F8">
        <w:rPr>
          <w:rFonts w:eastAsia="Times New Roman"/>
        </w:rPr>
        <w:t xml:space="preserve">67 NY2d 678 [1986] </w:t>
      </w:r>
      <w:r w:rsidR="00C1271F" w:rsidRPr="00B945F8">
        <w:rPr>
          <w:rFonts w:eastAsia="Times New Roman"/>
        </w:rPr>
        <w:t>[“in the absence of a connection between gang membership and the crime or crimes for which a defendant is being tried, the prosecutor</w:t>
      </w:r>
      <w:r w:rsidR="0033177B" w:rsidRPr="00B945F8">
        <w:rPr>
          <w:rFonts w:eastAsia="Times New Roman"/>
        </w:rPr>
        <w:t>’</w:t>
      </w:r>
      <w:r w:rsidR="00C1271F" w:rsidRPr="00B945F8">
        <w:rPr>
          <w:rFonts w:eastAsia="Times New Roman"/>
        </w:rPr>
        <w:t>s questions as to gang membership are improper”]</w:t>
      </w:r>
      <w:r w:rsidR="00D50593" w:rsidRPr="00B945F8">
        <w:rPr>
          <w:rFonts w:eastAsia="Times New Roman"/>
        </w:rPr>
        <w:t>;</w:t>
      </w:r>
      <w:r w:rsidR="00274F62" w:rsidRPr="00B945F8">
        <w:rPr>
          <w:rFonts w:eastAsia="Times New Roman"/>
        </w:rPr>
        <w:t xml:space="preserve"> Guide to NY Evid</w:t>
      </w:r>
      <w:r w:rsidR="00455CCE" w:rsidRPr="00B945F8">
        <w:rPr>
          <w:rFonts w:eastAsia="Times New Roman"/>
        </w:rPr>
        <w:t xml:space="preserve"> </w:t>
      </w:r>
      <w:r w:rsidR="00274F62" w:rsidRPr="00B945F8">
        <w:rPr>
          <w:rFonts w:eastAsia="Times New Roman"/>
        </w:rPr>
        <w:t>rule 4.28</w:t>
      </w:r>
      <w:r w:rsidR="00141E89" w:rsidRPr="00B945F8">
        <w:rPr>
          <w:rFonts w:eastAsia="Times New Roman"/>
        </w:rPr>
        <w:t xml:space="preserve">, </w:t>
      </w:r>
      <w:r w:rsidR="00274F62" w:rsidRPr="00B945F8">
        <w:rPr>
          <w:rFonts w:eastAsia="Times New Roman"/>
        </w:rPr>
        <w:t>Evidence of Crimes and Wrongs</w:t>
      </w:r>
      <w:r w:rsidR="009005BC" w:rsidRPr="00B945F8">
        <w:rPr>
          <w:rFonts w:eastAsia="Times New Roman"/>
        </w:rPr>
        <w:t xml:space="preserve"> [</w:t>
      </w:r>
      <w:r w:rsidR="00274F62" w:rsidRPr="00B945F8">
        <w:rPr>
          <w:rFonts w:eastAsia="Times New Roman"/>
          <w:i/>
          <w:iCs/>
        </w:rPr>
        <w:t>Molineux</w:t>
      </w:r>
      <w:r w:rsidR="00274F62" w:rsidRPr="00B945F8">
        <w:rPr>
          <w:rFonts w:eastAsia="Times New Roman"/>
        </w:rPr>
        <w:t>]</w:t>
      </w:r>
      <w:r w:rsidR="009005BC" w:rsidRPr="00B945F8">
        <w:rPr>
          <w:rFonts w:eastAsia="Times New Roman"/>
        </w:rPr>
        <w:t>)</w:t>
      </w:r>
      <w:r w:rsidR="00455CCE" w:rsidRPr="00B945F8">
        <w:rPr>
          <w:rFonts w:eastAsia="Times New Roman"/>
        </w:rPr>
        <w:t>.</w:t>
      </w:r>
    </w:p>
    <w:p w14:paraId="74A51E96" w14:textId="77777777" w:rsidR="00566008" w:rsidRPr="00B945F8" w:rsidRDefault="00566008" w:rsidP="007F28A8">
      <w:pPr>
        <w:shd w:val="clear" w:color="auto" w:fill="FFFFFF"/>
        <w:spacing w:before="0" w:line="240" w:lineRule="auto"/>
        <w:jc w:val="both"/>
        <w:rPr>
          <w:rFonts w:eastAsia="Times New Roman"/>
        </w:rPr>
      </w:pPr>
    </w:p>
    <w:p w14:paraId="1D83244B" w14:textId="4F372B44" w:rsidR="003C2AD3" w:rsidRPr="00B945F8" w:rsidRDefault="00003C8C" w:rsidP="007F28A8">
      <w:pPr>
        <w:shd w:val="clear" w:color="auto" w:fill="FFFFFF"/>
        <w:spacing w:before="0" w:line="240" w:lineRule="auto"/>
        <w:jc w:val="both"/>
        <w:rPr>
          <w:rFonts w:eastAsia="Times New Roman"/>
        </w:rPr>
      </w:pPr>
      <w:r w:rsidRPr="00B945F8">
        <w:rPr>
          <w:rFonts w:eastAsia="Times New Roman"/>
        </w:rPr>
        <w:tab/>
        <w:t xml:space="preserve">So analyzed, the Court of Appeals has held that evidence of a defendant’s membership in a gang </w:t>
      </w:r>
      <w:r w:rsidR="00B64A06" w:rsidRPr="00B945F8">
        <w:rPr>
          <w:rFonts w:eastAsia="Times New Roman"/>
        </w:rPr>
        <w:t>can</w:t>
      </w:r>
      <w:r w:rsidRPr="00B945F8">
        <w:rPr>
          <w:rFonts w:eastAsia="Times New Roman"/>
        </w:rPr>
        <w:t xml:space="preserve"> be admitted </w:t>
      </w:r>
      <w:r w:rsidR="00B03A9F" w:rsidRPr="00B945F8">
        <w:rPr>
          <w:rFonts w:eastAsia="Times New Roman"/>
        </w:rPr>
        <w:t xml:space="preserve">to show motive for the commission of the </w:t>
      </w:r>
      <w:r w:rsidR="00B03A9F" w:rsidRPr="00B945F8">
        <w:rPr>
          <w:rFonts w:eastAsia="Times New Roman"/>
        </w:rPr>
        <w:lastRenderedPageBreak/>
        <w:t xml:space="preserve">crime </w:t>
      </w:r>
      <w:r w:rsidR="005202BD" w:rsidRPr="00B945F8">
        <w:rPr>
          <w:rFonts w:eastAsia="Times New Roman"/>
        </w:rPr>
        <w:t>(</w:t>
      </w:r>
      <w:r w:rsidR="00B03A9F" w:rsidRPr="00B945F8">
        <w:rPr>
          <w:rFonts w:eastAsia="Times New Roman"/>
          <w:i/>
          <w:iCs/>
        </w:rPr>
        <w:t>People v Moore</w:t>
      </w:r>
      <w:r w:rsidR="00B03A9F" w:rsidRPr="00B945F8">
        <w:rPr>
          <w:rFonts w:eastAsia="Times New Roman"/>
        </w:rPr>
        <w:t xml:space="preserve">, 42 NY2d 421, </w:t>
      </w:r>
      <w:r w:rsidR="005202BD" w:rsidRPr="00B945F8">
        <w:rPr>
          <w:rFonts w:eastAsia="Times New Roman"/>
        </w:rPr>
        <w:t xml:space="preserve">428, </w:t>
      </w:r>
      <w:r w:rsidR="00B03A9F" w:rsidRPr="00B945F8">
        <w:rPr>
          <w:rFonts w:eastAsia="Times New Roman"/>
        </w:rPr>
        <w:t>433 [1977] [“evidence of the defendant</w:t>
      </w:r>
      <w:r w:rsidR="0033177B" w:rsidRPr="00B945F8">
        <w:rPr>
          <w:rFonts w:eastAsia="Times New Roman"/>
        </w:rPr>
        <w:t>’</w:t>
      </w:r>
      <w:r w:rsidR="00B03A9F" w:rsidRPr="00B945F8">
        <w:rPr>
          <w:rFonts w:eastAsia="Times New Roman"/>
        </w:rPr>
        <w:t xml:space="preserve">s relationship with the </w:t>
      </w:r>
      <w:r w:rsidR="005202BD" w:rsidRPr="00B945F8">
        <w:rPr>
          <w:rFonts w:eastAsia="Times New Roman"/>
        </w:rPr>
        <w:t>(</w:t>
      </w:r>
      <w:r w:rsidR="00B03A9F" w:rsidRPr="00B945F8">
        <w:rPr>
          <w:rFonts w:eastAsia="Times New Roman"/>
        </w:rPr>
        <w:t>Black Liberation Army</w:t>
      </w:r>
      <w:r w:rsidR="005202BD" w:rsidRPr="00B945F8">
        <w:rPr>
          <w:rFonts w:eastAsia="Times New Roman"/>
        </w:rPr>
        <w:t xml:space="preserve">) </w:t>
      </w:r>
      <w:r w:rsidR="00B03A9F" w:rsidRPr="00B945F8">
        <w:rPr>
          <w:rFonts w:eastAsia="Times New Roman"/>
        </w:rPr>
        <w:t>and their stated hostility to the police was properly admitted at trial to show the motive for the crime” of attempted murder of two police officers even though “it reflected on the defendant’s character”]</w:t>
      </w:r>
      <w:r w:rsidR="005202BD" w:rsidRPr="00B945F8">
        <w:rPr>
          <w:rFonts w:eastAsia="Times New Roman"/>
        </w:rPr>
        <w:t>)</w:t>
      </w:r>
      <w:r w:rsidR="00B03A9F" w:rsidRPr="00B945F8">
        <w:rPr>
          <w:rFonts w:eastAsia="Times New Roman"/>
        </w:rPr>
        <w:t>.</w:t>
      </w:r>
      <w:r w:rsidR="005202BD" w:rsidRPr="00B945F8">
        <w:rPr>
          <w:rFonts w:eastAsia="Times New Roman"/>
        </w:rPr>
        <w:t xml:space="preserve"> </w:t>
      </w:r>
      <w:r w:rsidR="004C5F8E" w:rsidRPr="00B945F8">
        <w:rPr>
          <w:rFonts w:eastAsia="Times New Roman"/>
        </w:rPr>
        <w:t>F</w:t>
      </w:r>
      <w:r w:rsidR="00B03A9F" w:rsidRPr="00B945F8">
        <w:rPr>
          <w:rFonts w:eastAsia="Times New Roman"/>
        </w:rPr>
        <w:t>urther</w:t>
      </w:r>
      <w:r w:rsidR="004C5F8E" w:rsidRPr="00B945F8">
        <w:rPr>
          <w:rFonts w:eastAsia="Times New Roman"/>
        </w:rPr>
        <w:t>, the Court has</w:t>
      </w:r>
      <w:r w:rsidR="00B03A9F" w:rsidRPr="00B945F8">
        <w:rPr>
          <w:rFonts w:eastAsia="Times New Roman"/>
        </w:rPr>
        <w:t xml:space="preserve"> held that evidence of a defendant’s membership </w:t>
      </w:r>
      <w:r w:rsidR="007B093D" w:rsidRPr="00B945F8">
        <w:rPr>
          <w:rFonts w:eastAsia="Times New Roman"/>
        </w:rPr>
        <w:t xml:space="preserve">in a gang </w:t>
      </w:r>
      <w:r w:rsidR="00B64A06" w:rsidRPr="00B945F8">
        <w:rPr>
          <w:rFonts w:eastAsia="Times New Roman"/>
        </w:rPr>
        <w:t>can</w:t>
      </w:r>
      <w:r w:rsidR="007B093D" w:rsidRPr="00B945F8">
        <w:rPr>
          <w:rFonts w:eastAsia="Times New Roman"/>
        </w:rPr>
        <w:t xml:space="preserve"> be admissible </w:t>
      </w:r>
      <w:bookmarkStart w:id="2" w:name="_Hlk110785077"/>
      <w:r w:rsidR="004B4233" w:rsidRPr="00B945F8">
        <w:rPr>
          <w:rFonts w:eastAsia="Times New Roman"/>
        </w:rPr>
        <w:t>“</w:t>
      </w:r>
      <w:r w:rsidR="00B64A06" w:rsidRPr="00B945F8">
        <w:rPr>
          <w:rFonts w:eastAsia="Times New Roman"/>
        </w:rPr>
        <w:t>to provide necessary background, or when it is inextricably interwoven with the charged crimes, or to explain the relationships of the individuals involved”</w:t>
      </w:r>
      <w:r w:rsidR="00ED6DC8" w:rsidRPr="00B945F8">
        <w:rPr>
          <w:rFonts w:eastAsia="Times New Roman"/>
        </w:rPr>
        <w:t xml:space="preserve"> (</w:t>
      </w:r>
      <w:r w:rsidR="007B093D" w:rsidRPr="00B945F8">
        <w:rPr>
          <w:rFonts w:eastAsia="Times New Roman"/>
          <w:i/>
          <w:iCs/>
        </w:rPr>
        <w:t>People v Bailey</w:t>
      </w:r>
      <w:r w:rsidR="007B093D" w:rsidRPr="00B945F8">
        <w:rPr>
          <w:rFonts w:eastAsia="Times New Roman"/>
        </w:rPr>
        <w:t xml:space="preserve">, 32 NY3d </w:t>
      </w:r>
      <w:r w:rsidR="002C433C" w:rsidRPr="00B945F8">
        <w:rPr>
          <w:rFonts w:eastAsia="Times New Roman"/>
        </w:rPr>
        <w:t>at</w:t>
      </w:r>
      <w:r w:rsidR="007B093D" w:rsidRPr="00B945F8">
        <w:rPr>
          <w:rFonts w:eastAsia="Times New Roman"/>
        </w:rPr>
        <w:t xml:space="preserve"> 83</w:t>
      </w:r>
      <w:bookmarkEnd w:id="2"/>
      <w:r w:rsidR="007B093D" w:rsidRPr="00B945F8">
        <w:rPr>
          <w:rFonts w:eastAsia="Times New Roman"/>
        </w:rPr>
        <w:t>).</w:t>
      </w:r>
    </w:p>
    <w:p w14:paraId="48C44365" w14:textId="77777777" w:rsidR="00092F8C" w:rsidRPr="00B945F8" w:rsidRDefault="00092F8C" w:rsidP="007F28A8">
      <w:pPr>
        <w:shd w:val="clear" w:color="auto" w:fill="FFFFFF"/>
        <w:spacing w:before="0" w:line="240" w:lineRule="auto"/>
        <w:jc w:val="both"/>
        <w:rPr>
          <w:rFonts w:eastAsia="Times New Roman"/>
        </w:rPr>
      </w:pPr>
    </w:p>
    <w:p w14:paraId="19A4DEA2" w14:textId="3432B2FE" w:rsidR="00A2427A" w:rsidRPr="00B945F8" w:rsidRDefault="00306EA2" w:rsidP="00306EA2">
      <w:pPr>
        <w:shd w:val="clear" w:color="auto" w:fill="FFFFFF"/>
        <w:tabs>
          <w:tab w:val="left" w:pos="720"/>
        </w:tabs>
        <w:spacing w:before="0" w:line="240" w:lineRule="auto"/>
        <w:jc w:val="both"/>
        <w:rPr>
          <w:rFonts w:eastAsia="Times New Roman"/>
        </w:rPr>
      </w:pPr>
      <w:r w:rsidRPr="00B945F8">
        <w:rPr>
          <w:rFonts w:eastAsia="Times New Roman"/>
        </w:rPr>
        <w:tab/>
      </w:r>
      <w:r w:rsidR="00A2427A" w:rsidRPr="00B945F8">
        <w:rPr>
          <w:rFonts w:eastAsia="Times New Roman"/>
        </w:rPr>
        <w:t>In</w:t>
      </w:r>
      <w:r w:rsidR="00A2427A" w:rsidRPr="00B945F8">
        <w:rPr>
          <w:rFonts w:eastAsia="Times New Roman"/>
          <w:i/>
          <w:iCs/>
        </w:rPr>
        <w:t xml:space="preserve"> Bailey</w:t>
      </w:r>
      <w:r w:rsidR="00A2427A" w:rsidRPr="00B945F8">
        <w:rPr>
          <w:rFonts w:eastAsia="Times New Roman"/>
        </w:rPr>
        <w:t xml:space="preserve">, </w:t>
      </w:r>
      <w:r w:rsidR="007A74E5" w:rsidRPr="00B945F8">
        <w:rPr>
          <w:rFonts w:eastAsia="Times New Roman"/>
        </w:rPr>
        <w:t>the defendant and two inmates were charged with assault of another inmate</w:t>
      </w:r>
      <w:r w:rsidR="0042164B" w:rsidRPr="00B945F8">
        <w:rPr>
          <w:rFonts w:eastAsia="Times New Roman"/>
        </w:rPr>
        <w:t xml:space="preserve"> and there was evidence that during the assault </w:t>
      </w:r>
      <w:r w:rsidR="00A6658C" w:rsidRPr="00B945F8">
        <w:rPr>
          <w:rFonts w:eastAsia="Times New Roman"/>
        </w:rPr>
        <w:t>one of the perpetrators</w:t>
      </w:r>
      <w:r w:rsidR="00ED6DC8" w:rsidRPr="00B945F8">
        <w:rPr>
          <w:rFonts w:eastAsia="Times New Roman"/>
        </w:rPr>
        <w:t>—</w:t>
      </w:r>
      <w:r w:rsidR="00A6658C" w:rsidRPr="00B945F8">
        <w:rPr>
          <w:rFonts w:eastAsia="Times New Roman"/>
        </w:rPr>
        <w:t>not the defendant</w:t>
      </w:r>
      <w:r w:rsidR="00ED6DC8" w:rsidRPr="00B945F8">
        <w:rPr>
          <w:rFonts w:eastAsia="Times New Roman"/>
        </w:rPr>
        <w:t>—</w:t>
      </w:r>
      <w:r w:rsidR="00505777" w:rsidRPr="00B945F8">
        <w:rPr>
          <w:rFonts w:eastAsia="Times New Roman"/>
        </w:rPr>
        <w:t xml:space="preserve">in response to </w:t>
      </w:r>
      <w:r w:rsidR="00550BFE" w:rsidRPr="00B945F8">
        <w:rPr>
          <w:rFonts w:eastAsia="Times New Roman"/>
        </w:rPr>
        <w:t xml:space="preserve">the </w:t>
      </w:r>
      <w:r w:rsidR="00505777" w:rsidRPr="00B945F8">
        <w:rPr>
          <w:rFonts w:eastAsia="Times New Roman"/>
        </w:rPr>
        <w:t>complainant’s request for a “fair fight” (one</w:t>
      </w:r>
      <w:r w:rsidR="009C4694" w:rsidRPr="00B945F8">
        <w:rPr>
          <w:rFonts w:eastAsia="Times New Roman"/>
        </w:rPr>
        <w:t>-</w:t>
      </w:r>
      <w:r w:rsidR="00505777" w:rsidRPr="00B945F8">
        <w:rPr>
          <w:rFonts w:eastAsia="Times New Roman"/>
        </w:rPr>
        <w:t>on</w:t>
      </w:r>
      <w:r w:rsidR="009C4694" w:rsidRPr="00B945F8">
        <w:rPr>
          <w:rFonts w:eastAsia="Times New Roman"/>
        </w:rPr>
        <w:t>-</w:t>
      </w:r>
      <w:r w:rsidR="00505777" w:rsidRPr="00B945F8">
        <w:rPr>
          <w:rFonts w:eastAsia="Times New Roman"/>
        </w:rPr>
        <w:t>one)</w:t>
      </w:r>
      <w:r w:rsidR="009C5F5D" w:rsidRPr="00B945F8">
        <w:rPr>
          <w:rFonts w:eastAsia="Times New Roman"/>
        </w:rPr>
        <w:t xml:space="preserve"> said</w:t>
      </w:r>
      <w:r w:rsidR="009C4694" w:rsidRPr="00B945F8">
        <w:rPr>
          <w:rFonts w:eastAsia="Times New Roman"/>
        </w:rPr>
        <w:t>,</w:t>
      </w:r>
      <w:r w:rsidR="009C5F5D" w:rsidRPr="00B945F8">
        <w:rPr>
          <w:rFonts w:eastAsia="Times New Roman"/>
        </w:rPr>
        <w:t xml:space="preserve"> “ain’t nothing fair, only Blood rules</w:t>
      </w:r>
      <w:r w:rsidR="00F612AB" w:rsidRPr="00B945F8">
        <w:rPr>
          <w:rFonts w:eastAsia="Times New Roman"/>
        </w:rPr>
        <w:t>”</w:t>
      </w:r>
      <w:r w:rsidR="00ED6DC8" w:rsidRPr="00B945F8">
        <w:rPr>
          <w:rFonts w:eastAsia="Times New Roman"/>
        </w:rPr>
        <w:t xml:space="preserve"> (</w:t>
      </w:r>
      <w:r w:rsidR="00ED6DC8" w:rsidRPr="00B945F8">
        <w:rPr>
          <w:rFonts w:eastAsia="Times New Roman"/>
          <w:i/>
          <w:iCs/>
        </w:rPr>
        <w:t>id.</w:t>
      </w:r>
      <w:r w:rsidR="00ED6DC8" w:rsidRPr="00B945F8">
        <w:rPr>
          <w:rFonts w:eastAsia="Times New Roman"/>
        </w:rPr>
        <w:t xml:space="preserve"> at 73). </w:t>
      </w:r>
      <w:r w:rsidR="0081548C" w:rsidRPr="00B945F8">
        <w:rPr>
          <w:rFonts w:eastAsia="Times New Roman"/>
        </w:rPr>
        <w:t xml:space="preserve">After the attack, </w:t>
      </w:r>
      <w:r w:rsidR="006E7ABB" w:rsidRPr="00B945F8">
        <w:rPr>
          <w:rFonts w:eastAsia="Times New Roman"/>
        </w:rPr>
        <w:t>when the defendant said he could not get a fair fight, the same codefendant yelled out “power Blood rules”</w:t>
      </w:r>
      <w:r w:rsidR="00435748" w:rsidRPr="00B945F8">
        <w:rPr>
          <w:rFonts w:eastAsia="Times New Roman"/>
        </w:rPr>
        <w:t xml:space="preserve"> (</w:t>
      </w:r>
      <w:r w:rsidR="00435748" w:rsidRPr="00B945F8">
        <w:rPr>
          <w:rFonts w:eastAsia="Times New Roman"/>
          <w:i/>
          <w:iCs/>
        </w:rPr>
        <w:t>id</w:t>
      </w:r>
      <w:r w:rsidR="00435748" w:rsidRPr="00B945F8">
        <w:rPr>
          <w:rFonts w:eastAsia="Times New Roman"/>
        </w:rPr>
        <w:t>.).</w:t>
      </w:r>
      <w:r w:rsidR="006E7ABB" w:rsidRPr="00B945F8">
        <w:rPr>
          <w:rFonts w:eastAsia="Times New Roman"/>
        </w:rPr>
        <w:t xml:space="preserve"> </w:t>
      </w:r>
      <w:r w:rsidR="00A54FD0" w:rsidRPr="00B945F8">
        <w:rPr>
          <w:rFonts w:eastAsia="Times New Roman"/>
        </w:rPr>
        <w:t xml:space="preserve">The Court of Appeals </w:t>
      </w:r>
      <w:r w:rsidR="00C34134" w:rsidRPr="00B945F8">
        <w:rPr>
          <w:rFonts w:eastAsia="Times New Roman"/>
        </w:rPr>
        <w:t xml:space="preserve">held that </w:t>
      </w:r>
      <w:r w:rsidR="00A2427A" w:rsidRPr="00B945F8">
        <w:rPr>
          <w:rFonts w:eastAsia="Times New Roman"/>
        </w:rPr>
        <w:t>“the testimony elicited by the People about the Bloods was probative of defendant</w:t>
      </w:r>
      <w:r w:rsidR="0033177B" w:rsidRPr="00B945F8">
        <w:rPr>
          <w:rFonts w:eastAsia="Times New Roman"/>
        </w:rPr>
        <w:t>’</w:t>
      </w:r>
      <w:r w:rsidR="00A2427A" w:rsidRPr="00B945F8">
        <w:rPr>
          <w:rFonts w:eastAsia="Times New Roman"/>
        </w:rPr>
        <w:t>s motive and intent to join the assault on complainant, and provided necessary background information on the nature of the relationship between the codefendants</w:t>
      </w:r>
      <w:r w:rsidR="00752237" w:rsidRPr="00B945F8">
        <w:rPr>
          <w:rFonts w:eastAsia="Times New Roman"/>
        </w:rPr>
        <w:t xml:space="preserve"> . . . . </w:t>
      </w:r>
      <w:r w:rsidR="00A2427A" w:rsidRPr="00B945F8">
        <w:rPr>
          <w:rFonts w:eastAsia="Times New Roman"/>
        </w:rPr>
        <w:t>The testimony was intended to explain why defendant and one of the codefendants were quick to join in the fight, as well as the gang-related meaning of the words complainant alleged that the codefendant used during and after the attack.</w:t>
      </w:r>
      <w:r w:rsidR="00435748" w:rsidRPr="00B945F8">
        <w:rPr>
          <w:rFonts w:eastAsia="Times New Roman"/>
        </w:rPr>
        <w:t xml:space="preserve"> </w:t>
      </w:r>
      <w:r w:rsidR="00A2427A" w:rsidRPr="00B945F8">
        <w:rPr>
          <w:rFonts w:eastAsia="Times New Roman"/>
        </w:rPr>
        <w:t>In fact, very little of the investigator</w:t>
      </w:r>
      <w:r w:rsidR="0033177B" w:rsidRPr="00B945F8">
        <w:rPr>
          <w:rFonts w:eastAsia="Times New Roman"/>
        </w:rPr>
        <w:t>’</w:t>
      </w:r>
      <w:r w:rsidR="00A2427A" w:rsidRPr="00B945F8">
        <w:rPr>
          <w:rFonts w:eastAsia="Times New Roman"/>
        </w:rPr>
        <w:t>s testimony focused on sensational details about the Bloods. The testimony described how members are identified and briefly discussed how carrying out an act of violence on behalf of a member might allow another member to rise in the gang</w:t>
      </w:r>
      <w:r w:rsidR="0033177B" w:rsidRPr="00B945F8">
        <w:rPr>
          <w:rFonts w:eastAsia="Times New Roman"/>
        </w:rPr>
        <w:t>’</w:t>
      </w:r>
      <w:r w:rsidR="00A2427A" w:rsidRPr="00B945F8">
        <w:rPr>
          <w:rFonts w:eastAsia="Times New Roman"/>
        </w:rPr>
        <w:t>s hierarchy</w:t>
      </w:r>
      <w:r w:rsidR="00783849" w:rsidRPr="00B945F8">
        <w:rPr>
          <w:rFonts w:eastAsia="Times New Roman"/>
        </w:rPr>
        <w:t>”</w:t>
      </w:r>
      <w:r w:rsidR="00435748" w:rsidRPr="00B945F8">
        <w:rPr>
          <w:rFonts w:eastAsia="Times New Roman"/>
        </w:rPr>
        <w:t xml:space="preserve"> (</w:t>
      </w:r>
      <w:r w:rsidR="00435748" w:rsidRPr="00B945F8">
        <w:rPr>
          <w:rFonts w:eastAsia="Times New Roman"/>
          <w:i/>
          <w:iCs/>
        </w:rPr>
        <w:t>i</w:t>
      </w:r>
      <w:r w:rsidR="005C09C9" w:rsidRPr="00B945F8">
        <w:rPr>
          <w:rFonts w:eastAsia="Times New Roman"/>
          <w:i/>
          <w:iCs/>
        </w:rPr>
        <w:t>d.</w:t>
      </w:r>
      <w:r w:rsidR="005C09C9" w:rsidRPr="00B945F8">
        <w:rPr>
          <w:rFonts w:eastAsia="Times New Roman"/>
        </w:rPr>
        <w:t xml:space="preserve"> at 83</w:t>
      </w:r>
      <w:r w:rsidR="00435748" w:rsidRPr="00B945F8">
        <w:rPr>
          <w:rFonts w:eastAsia="Times New Roman"/>
        </w:rPr>
        <w:t>)</w:t>
      </w:r>
      <w:r w:rsidR="005C09C9" w:rsidRPr="00B945F8">
        <w:rPr>
          <w:rFonts w:eastAsia="Times New Roman"/>
        </w:rPr>
        <w:t>.</w:t>
      </w:r>
    </w:p>
    <w:p w14:paraId="23494EBE" w14:textId="77777777" w:rsidR="00A2427A" w:rsidRPr="00B945F8" w:rsidRDefault="00A2427A" w:rsidP="007F28A8">
      <w:pPr>
        <w:shd w:val="clear" w:color="auto" w:fill="FFFFFF"/>
        <w:spacing w:before="0" w:line="240" w:lineRule="auto"/>
        <w:jc w:val="both"/>
        <w:rPr>
          <w:rFonts w:eastAsia="Times New Roman"/>
        </w:rPr>
      </w:pPr>
    </w:p>
    <w:p w14:paraId="507A3CC9" w14:textId="0E0DD85A" w:rsidR="00843EAD" w:rsidRPr="00B945F8" w:rsidRDefault="00A2427A" w:rsidP="007F28A8">
      <w:pPr>
        <w:shd w:val="clear" w:color="auto" w:fill="FFFFFF"/>
        <w:spacing w:before="0" w:line="240" w:lineRule="auto"/>
        <w:jc w:val="both"/>
        <w:rPr>
          <w:rFonts w:eastAsia="Times New Roman"/>
        </w:rPr>
      </w:pPr>
      <w:r w:rsidRPr="00B945F8">
        <w:rPr>
          <w:rFonts w:eastAsia="Times New Roman"/>
        </w:rPr>
        <w:tab/>
      </w:r>
      <w:r w:rsidR="00A1317A" w:rsidRPr="00B945F8">
        <w:rPr>
          <w:rFonts w:eastAsia="Times New Roman"/>
        </w:rPr>
        <w:t>Examples of o</w:t>
      </w:r>
      <w:r w:rsidRPr="00B945F8">
        <w:rPr>
          <w:rFonts w:eastAsia="Times New Roman"/>
        </w:rPr>
        <w:t xml:space="preserve">ther </w:t>
      </w:r>
      <w:r w:rsidR="000B1A0B" w:rsidRPr="00B945F8">
        <w:rPr>
          <w:rFonts w:eastAsia="Times New Roman"/>
        </w:rPr>
        <w:t xml:space="preserve">decisions </w:t>
      </w:r>
      <w:r w:rsidR="00A1317A" w:rsidRPr="00B945F8">
        <w:rPr>
          <w:rFonts w:eastAsia="Times New Roman"/>
        </w:rPr>
        <w:t xml:space="preserve">admitting evidence of </w:t>
      </w:r>
      <w:r w:rsidR="000D70E8" w:rsidRPr="00B945F8">
        <w:rPr>
          <w:rFonts w:eastAsia="Times New Roman"/>
        </w:rPr>
        <w:t>gang activity and a</w:t>
      </w:r>
      <w:r w:rsidR="00A1317A" w:rsidRPr="00B945F8">
        <w:rPr>
          <w:rFonts w:eastAsia="Times New Roman"/>
        </w:rPr>
        <w:t xml:space="preserve"> defendant’s membership in a gang include:</w:t>
      </w:r>
    </w:p>
    <w:p w14:paraId="041BA9F9" w14:textId="77777777" w:rsidR="001B7E0A" w:rsidRPr="00B945F8" w:rsidRDefault="001B7E0A" w:rsidP="007F28A8">
      <w:pPr>
        <w:shd w:val="clear" w:color="auto" w:fill="FFFFFF"/>
        <w:spacing w:before="0" w:line="240" w:lineRule="auto"/>
        <w:jc w:val="both"/>
        <w:rPr>
          <w:rFonts w:eastAsia="Times New Roman"/>
        </w:rPr>
      </w:pPr>
    </w:p>
    <w:p w14:paraId="03F030F5" w14:textId="7E08A1F0" w:rsidR="001B7E0A" w:rsidRPr="00B945F8" w:rsidRDefault="001B7E0A" w:rsidP="007F28A8">
      <w:pPr>
        <w:pStyle w:val="ListParagraph"/>
        <w:numPr>
          <w:ilvl w:val="0"/>
          <w:numId w:val="1"/>
        </w:numPr>
        <w:shd w:val="clear" w:color="auto" w:fill="FFFFFF"/>
        <w:spacing w:before="0" w:line="240" w:lineRule="auto"/>
        <w:jc w:val="both"/>
        <w:rPr>
          <w:rFonts w:eastAsia="Times New Roman"/>
        </w:rPr>
      </w:pPr>
      <w:r w:rsidRPr="00B945F8">
        <w:rPr>
          <w:rFonts w:eastAsia="Times New Roman"/>
          <w:i/>
          <w:iCs/>
        </w:rPr>
        <w:t>People v Benjamin</w:t>
      </w:r>
      <w:r w:rsidR="00435748" w:rsidRPr="00B945F8">
        <w:rPr>
          <w:rFonts w:eastAsia="Times New Roman"/>
        </w:rPr>
        <w:t xml:space="preserve">, </w:t>
      </w:r>
      <w:r w:rsidRPr="00B945F8">
        <w:rPr>
          <w:rFonts w:eastAsia="Times New Roman"/>
        </w:rPr>
        <w:t>203 AD3d 617</w:t>
      </w:r>
      <w:r w:rsidR="00A96D16" w:rsidRPr="00B945F8">
        <w:rPr>
          <w:rFonts w:eastAsia="Times New Roman"/>
        </w:rPr>
        <w:t>, 617</w:t>
      </w:r>
      <w:r w:rsidRPr="00B945F8">
        <w:rPr>
          <w:rFonts w:eastAsia="Times New Roman"/>
        </w:rPr>
        <w:t xml:space="preserve"> </w:t>
      </w:r>
      <w:r w:rsidR="00435748" w:rsidRPr="00B945F8">
        <w:rPr>
          <w:rFonts w:eastAsia="Times New Roman"/>
        </w:rPr>
        <w:t>(</w:t>
      </w:r>
      <w:r w:rsidRPr="00B945F8">
        <w:rPr>
          <w:rFonts w:eastAsia="Times New Roman"/>
        </w:rPr>
        <w:t>1st Dept 2022</w:t>
      </w:r>
      <w:r w:rsidR="00435748" w:rsidRPr="00B945F8">
        <w:rPr>
          <w:rFonts w:eastAsia="Times New Roman"/>
        </w:rPr>
        <w:t>) (</w:t>
      </w:r>
      <w:r w:rsidRPr="00B945F8">
        <w:rPr>
          <w:rFonts w:eastAsia="Times New Roman"/>
        </w:rPr>
        <w:t xml:space="preserve">In a prosecution for manslaughter, </w:t>
      </w:r>
      <w:r w:rsidR="002C3D93" w:rsidRPr="00B945F8">
        <w:rPr>
          <w:rFonts w:eastAsia="Times New Roman"/>
        </w:rPr>
        <w:t>the admitted evidence</w:t>
      </w:r>
      <w:r w:rsidRPr="00B945F8">
        <w:rPr>
          <w:rFonts w:eastAsia="Times New Roman"/>
        </w:rPr>
        <w:t xml:space="preserve">, </w:t>
      </w:r>
      <w:r w:rsidR="002C3D93" w:rsidRPr="00B945F8">
        <w:rPr>
          <w:rFonts w:eastAsia="Times New Roman"/>
        </w:rPr>
        <w:t>“</w:t>
      </w:r>
      <w:r w:rsidRPr="00B945F8">
        <w:rPr>
          <w:rFonts w:eastAsia="Times New Roman"/>
        </w:rPr>
        <w:t xml:space="preserve">which included expert testimony regarding the history of a specific conflict between two gangs, </w:t>
      </w:r>
      <w:bookmarkStart w:id="3" w:name="_Hlk115866325"/>
      <w:r w:rsidRPr="00B945F8">
        <w:rPr>
          <w:rFonts w:eastAsia="Times New Roman"/>
        </w:rPr>
        <w:t>a photo in which defendant made a gang sign accompanied by two known members of the gang, and a photo in which two members of the gang made the same sign in defendant</w:t>
      </w:r>
      <w:r w:rsidR="0033177B" w:rsidRPr="00B945F8">
        <w:rPr>
          <w:rFonts w:eastAsia="Times New Roman"/>
        </w:rPr>
        <w:t>’</w:t>
      </w:r>
      <w:r w:rsidRPr="00B945F8">
        <w:rPr>
          <w:rFonts w:eastAsia="Times New Roman"/>
        </w:rPr>
        <w:t>s presence</w:t>
      </w:r>
      <w:bookmarkEnd w:id="3"/>
      <w:r w:rsidR="00435748" w:rsidRPr="00B945F8">
        <w:rPr>
          <w:rFonts w:eastAsia="Times New Roman"/>
        </w:rPr>
        <w:t>[</w:t>
      </w:r>
      <w:r w:rsidR="00DC3FBC" w:rsidRPr="00B945F8">
        <w:rPr>
          <w:rFonts w:eastAsia="Times New Roman"/>
        </w:rPr>
        <w:t>,</w:t>
      </w:r>
      <w:r w:rsidR="00435748" w:rsidRPr="00B945F8">
        <w:rPr>
          <w:rFonts w:eastAsia="Times New Roman"/>
        </w:rPr>
        <w:t xml:space="preserve">] </w:t>
      </w:r>
      <w:r w:rsidRPr="00B945F8">
        <w:rPr>
          <w:rFonts w:eastAsia="Times New Roman"/>
        </w:rPr>
        <w:t>was probative of motive since it provided an explanation as to why defendant would .</w:t>
      </w:r>
      <w:r w:rsidR="0024665D" w:rsidRPr="00B945F8">
        <w:rPr>
          <w:rFonts w:eastAsia="Times New Roman"/>
        </w:rPr>
        <w:t xml:space="preserve"> </w:t>
      </w:r>
      <w:r w:rsidRPr="00B945F8">
        <w:rPr>
          <w:rFonts w:eastAsia="Times New Roman"/>
        </w:rPr>
        <w:t>.</w:t>
      </w:r>
      <w:r w:rsidR="0024665D" w:rsidRPr="00B945F8">
        <w:rPr>
          <w:rFonts w:eastAsia="Times New Roman"/>
        </w:rPr>
        <w:t xml:space="preserve"> </w:t>
      </w:r>
      <w:r w:rsidRPr="00B945F8">
        <w:rPr>
          <w:rFonts w:eastAsia="Times New Roman"/>
        </w:rPr>
        <w:t>. shoot the victim. Although defendant</w:t>
      </w:r>
      <w:r w:rsidR="0033177B" w:rsidRPr="00B945F8">
        <w:rPr>
          <w:rFonts w:eastAsia="Times New Roman"/>
        </w:rPr>
        <w:t>’</w:t>
      </w:r>
      <w:r w:rsidRPr="00B945F8">
        <w:rPr>
          <w:rFonts w:eastAsia="Times New Roman"/>
        </w:rPr>
        <w:t>s confession also discussed his motive, his explanation made no sense except in the context of a gang rivalry</w:t>
      </w:r>
      <w:bookmarkStart w:id="4" w:name="_Hlk110775531"/>
      <w:r w:rsidR="00B477E6" w:rsidRPr="00B945F8">
        <w:rPr>
          <w:rFonts w:eastAsia="Times New Roman"/>
        </w:rPr>
        <w:t>”</w:t>
      </w:r>
      <w:bookmarkEnd w:id="4"/>
      <w:r w:rsidR="00B477E6" w:rsidRPr="00B945F8">
        <w:rPr>
          <w:rFonts w:eastAsia="Times New Roman"/>
        </w:rPr>
        <w:t xml:space="preserve"> </w:t>
      </w:r>
      <w:r w:rsidR="00435748" w:rsidRPr="00B945F8">
        <w:rPr>
          <w:rFonts w:eastAsia="Times New Roman"/>
        </w:rPr>
        <w:t xml:space="preserve">[internal </w:t>
      </w:r>
      <w:r w:rsidR="00B81681" w:rsidRPr="00B945F8">
        <w:rPr>
          <w:rFonts w:eastAsia="Times New Roman"/>
        </w:rPr>
        <w:t xml:space="preserve">quotation marks and </w:t>
      </w:r>
      <w:r w:rsidRPr="00B945F8">
        <w:rPr>
          <w:rFonts w:eastAsia="Times New Roman"/>
        </w:rPr>
        <w:t>citations omitted</w:t>
      </w:r>
      <w:r w:rsidR="00106192" w:rsidRPr="00B945F8">
        <w:rPr>
          <w:rFonts w:eastAsia="Times New Roman"/>
        </w:rPr>
        <w:t>]</w:t>
      </w:r>
      <w:r w:rsidR="00435748" w:rsidRPr="00B945F8">
        <w:rPr>
          <w:rFonts w:eastAsia="Times New Roman"/>
        </w:rPr>
        <w:t>)</w:t>
      </w:r>
      <w:r w:rsidRPr="00B945F8">
        <w:rPr>
          <w:rFonts w:eastAsia="Times New Roman"/>
        </w:rPr>
        <w:t>.</w:t>
      </w:r>
    </w:p>
    <w:p w14:paraId="59E056C9" w14:textId="77777777" w:rsidR="00CC04F5" w:rsidRPr="00B945F8" w:rsidRDefault="00CC04F5" w:rsidP="007F28A8">
      <w:pPr>
        <w:autoSpaceDE w:val="0"/>
        <w:autoSpaceDN w:val="0"/>
        <w:adjustRightInd w:val="0"/>
        <w:snapToGrid w:val="0"/>
        <w:spacing w:before="0" w:line="240" w:lineRule="auto"/>
        <w:rPr>
          <w:rFonts w:eastAsia="Times New Roman"/>
          <w:lang w:val="x-none"/>
        </w:rPr>
      </w:pPr>
    </w:p>
    <w:p w14:paraId="78F39590" w14:textId="6C838991" w:rsidR="00BD0003" w:rsidRPr="00B945F8" w:rsidRDefault="003F2699" w:rsidP="007F28A8">
      <w:pPr>
        <w:pStyle w:val="ListParagraph"/>
        <w:numPr>
          <w:ilvl w:val="0"/>
          <w:numId w:val="1"/>
        </w:numPr>
        <w:shd w:val="clear" w:color="auto" w:fill="FFFFFF"/>
        <w:spacing w:before="0" w:line="240" w:lineRule="auto"/>
        <w:jc w:val="both"/>
        <w:rPr>
          <w:rFonts w:eastAsia="Times New Roman"/>
        </w:rPr>
      </w:pPr>
      <w:r w:rsidRPr="00B945F8">
        <w:rPr>
          <w:rFonts w:eastAsia="Times New Roman"/>
          <w:i/>
          <w:iCs/>
        </w:rPr>
        <w:t>People v Hilts</w:t>
      </w:r>
      <w:r w:rsidR="00435748" w:rsidRPr="00B945F8">
        <w:rPr>
          <w:rFonts w:eastAsia="Times New Roman"/>
        </w:rPr>
        <w:t xml:space="preserve">, </w:t>
      </w:r>
      <w:r w:rsidRPr="00B945F8">
        <w:rPr>
          <w:rFonts w:eastAsia="Times New Roman"/>
        </w:rPr>
        <w:t>187 AD3d 1408</w:t>
      </w:r>
      <w:r w:rsidR="000F30AD" w:rsidRPr="00B945F8">
        <w:rPr>
          <w:rFonts w:eastAsia="Times New Roman"/>
        </w:rPr>
        <w:t>, 14</w:t>
      </w:r>
      <w:r w:rsidR="003D533D" w:rsidRPr="00B945F8">
        <w:rPr>
          <w:rFonts w:eastAsia="Times New Roman"/>
        </w:rPr>
        <w:t>1</w:t>
      </w:r>
      <w:r w:rsidR="001C264F" w:rsidRPr="00B945F8">
        <w:rPr>
          <w:rFonts w:eastAsia="Times New Roman"/>
        </w:rPr>
        <w:t>4</w:t>
      </w:r>
      <w:r w:rsidRPr="00B945F8">
        <w:rPr>
          <w:rFonts w:eastAsia="Times New Roman"/>
        </w:rPr>
        <w:t xml:space="preserve"> </w:t>
      </w:r>
      <w:r w:rsidR="00435748" w:rsidRPr="00B945F8">
        <w:rPr>
          <w:rFonts w:eastAsia="Times New Roman"/>
        </w:rPr>
        <w:t>(</w:t>
      </w:r>
      <w:r w:rsidRPr="00B945F8">
        <w:rPr>
          <w:rFonts w:eastAsia="Times New Roman"/>
        </w:rPr>
        <w:t>3d Dept 2020</w:t>
      </w:r>
      <w:r w:rsidR="00435748" w:rsidRPr="00B945F8">
        <w:rPr>
          <w:rFonts w:eastAsia="Times New Roman"/>
        </w:rPr>
        <w:t>) (I</w:t>
      </w:r>
      <w:r w:rsidR="00EA0235" w:rsidRPr="00B945F8">
        <w:rPr>
          <w:rFonts w:eastAsia="Times New Roman"/>
        </w:rPr>
        <w:t xml:space="preserve">n a prosecution for </w:t>
      </w:r>
      <w:r w:rsidR="00172507" w:rsidRPr="00B945F8">
        <w:rPr>
          <w:rFonts w:eastAsia="Times New Roman"/>
        </w:rPr>
        <w:t xml:space="preserve">the </w:t>
      </w:r>
      <w:r w:rsidR="00EA0235" w:rsidRPr="00B945F8">
        <w:rPr>
          <w:rFonts w:eastAsia="Times New Roman"/>
        </w:rPr>
        <w:t xml:space="preserve">sale </w:t>
      </w:r>
      <w:r w:rsidR="00312EC6" w:rsidRPr="00B945F8">
        <w:rPr>
          <w:rFonts w:eastAsia="Times New Roman"/>
        </w:rPr>
        <w:t xml:space="preserve">of a firearm, </w:t>
      </w:r>
      <w:r w:rsidR="00D974FF" w:rsidRPr="00B945F8">
        <w:rPr>
          <w:rFonts w:eastAsia="Times New Roman"/>
        </w:rPr>
        <w:t>a</w:t>
      </w:r>
      <w:r w:rsidR="006F7E21" w:rsidRPr="00B945F8">
        <w:rPr>
          <w:rFonts w:eastAsia="Times New Roman"/>
        </w:rPr>
        <w:t>n FBI</w:t>
      </w:r>
      <w:r w:rsidR="00EB3152" w:rsidRPr="00B945F8">
        <w:rPr>
          <w:rFonts w:eastAsia="Times New Roman"/>
        </w:rPr>
        <w:t xml:space="preserve"> </w:t>
      </w:r>
      <w:r w:rsidR="00D974FF" w:rsidRPr="00B945F8">
        <w:rPr>
          <w:rFonts w:eastAsia="Times New Roman"/>
        </w:rPr>
        <w:t xml:space="preserve">confidential informant </w:t>
      </w:r>
      <w:r w:rsidR="00435748" w:rsidRPr="00B945F8">
        <w:rPr>
          <w:rFonts w:eastAsia="Times New Roman"/>
        </w:rPr>
        <w:t>[</w:t>
      </w:r>
      <w:r w:rsidR="00D974FF" w:rsidRPr="00B945F8">
        <w:rPr>
          <w:rFonts w:eastAsia="Times New Roman"/>
        </w:rPr>
        <w:t>CI</w:t>
      </w:r>
      <w:r w:rsidR="00435748" w:rsidRPr="00B945F8">
        <w:rPr>
          <w:rFonts w:eastAsia="Times New Roman"/>
        </w:rPr>
        <w:t xml:space="preserve">] </w:t>
      </w:r>
      <w:r w:rsidR="00172507" w:rsidRPr="00B945F8">
        <w:rPr>
          <w:rFonts w:eastAsia="Times New Roman"/>
        </w:rPr>
        <w:t xml:space="preserve">arranged to purchase a firearm </w:t>
      </w:r>
      <w:r w:rsidR="002D73EC" w:rsidRPr="00B945F8">
        <w:rPr>
          <w:rFonts w:eastAsia="Times New Roman"/>
        </w:rPr>
        <w:t xml:space="preserve">from </w:t>
      </w:r>
      <w:r w:rsidR="00172507" w:rsidRPr="00B945F8">
        <w:rPr>
          <w:rFonts w:eastAsia="Times New Roman"/>
        </w:rPr>
        <w:t xml:space="preserve">the defendant. </w:t>
      </w:r>
      <w:r w:rsidR="006F7E21" w:rsidRPr="00B945F8">
        <w:rPr>
          <w:rFonts w:eastAsia="Times New Roman"/>
        </w:rPr>
        <w:t xml:space="preserve">The </w:t>
      </w:r>
      <w:r w:rsidR="00090F4A" w:rsidRPr="00B945F8">
        <w:rPr>
          <w:rFonts w:eastAsia="Times New Roman"/>
        </w:rPr>
        <w:t xml:space="preserve">CI had </w:t>
      </w:r>
      <w:r w:rsidR="00AD4890" w:rsidRPr="00B945F8">
        <w:rPr>
          <w:rFonts w:eastAsia="Times New Roman"/>
        </w:rPr>
        <w:t>worked for the Bloods</w:t>
      </w:r>
      <w:r w:rsidR="00F26CD2" w:rsidRPr="00B945F8">
        <w:rPr>
          <w:rFonts w:eastAsia="Times New Roman"/>
        </w:rPr>
        <w:t xml:space="preserve"> as an </w:t>
      </w:r>
      <w:r w:rsidR="00397E0F" w:rsidRPr="00B945F8">
        <w:rPr>
          <w:rFonts w:eastAsia="Times New Roman"/>
        </w:rPr>
        <w:t>“</w:t>
      </w:r>
      <w:r w:rsidR="00F26CD2" w:rsidRPr="00B945F8">
        <w:rPr>
          <w:rFonts w:eastAsia="Times New Roman"/>
        </w:rPr>
        <w:t>enforcer</w:t>
      </w:r>
      <w:r w:rsidR="00397E0F" w:rsidRPr="00B945F8">
        <w:rPr>
          <w:rFonts w:eastAsia="Times New Roman"/>
        </w:rPr>
        <w:t>”</w:t>
      </w:r>
      <w:r w:rsidR="00F26CD2" w:rsidRPr="00B945F8">
        <w:rPr>
          <w:rFonts w:eastAsia="Times New Roman"/>
        </w:rPr>
        <w:t xml:space="preserve"> </w:t>
      </w:r>
      <w:r w:rsidR="00AD4890" w:rsidRPr="00B945F8">
        <w:rPr>
          <w:rFonts w:eastAsia="Times New Roman"/>
        </w:rPr>
        <w:t xml:space="preserve">in guarding a store </w:t>
      </w:r>
      <w:r w:rsidR="00457A8A" w:rsidRPr="00B945F8">
        <w:rPr>
          <w:rFonts w:eastAsia="Times New Roman"/>
        </w:rPr>
        <w:t>where the Bloods conducted firearms transactions</w:t>
      </w:r>
      <w:r w:rsidR="00C35FBA" w:rsidRPr="00B945F8">
        <w:rPr>
          <w:rFonts w:eastAsia="Times New Roman"/>
        </w:rPr>
        <w:t xml:space="preserve"> and </w:t>
      </w:r>
      <w:r w:rsidR="00221020" w:rsidRPr="00B945F8">
        <w:rPr>
          <w:rFonts w:eastAsia="Times New Roman"/>
        </w:rPr>
        <w:t>it was in the store’s parking lot that the sale was arranged.</w:t>
      </w:r>
      <w:r w:rsidR="00347A75" w:rsidRPr="00B945F8">
        <w:rPr>
          <w:rFonts w:eastAsia="Times New Roman"/>
        </w:rPr>
        <w:t xml:space="preserve"> </w:t>
      </w:r>
      <w:r w:rsidR="00347A75" w:rsidRPr="00B945F8">
        <w:rPr>
          <w:rFonts w:eastAsia="Times New Roman"/>
        </w:rPr>
        <w:lastRenderedPageBreak/>
        <w:t xml:space="preserve">The </w:t>
      </w:r>
      <w:r w:rsidR="005B0BB3" w:rsidRPr="00B945F8">
        <w:rPr>
          <w:rFonts w:eastAsia="Times New Roman"/>
        </w:rPr>
        <w:t>Court held that the</w:t>
      </w:r>
      <w:r w:rsidR="00435748" w:rsidRPr="00B945F8">
        <w:rPr>
          <w:rFonts w:eastAsia="Times New Roman"/>
        </w:rPr>
        <w:t xml:space="preserve"> </w:t>
      </w:r>
      <w:r w:rsidR="005B0BB3" w:rsidRPr="00B945F8">
        <w:rPr>
          <w:rFonts w:eastAsia="Times New Roman"/>
        </w:rPr>
        <w:t>“</w:t>
      </w:r>
      <w:r w:rsidRPr="00B945F8">
        <w:rPr>
          <w:rFonts w:eastAsia="Times New Roman"/>
        </w:rPr>
        <w:t>CI</w:t>
      </w:r>
      <w:r w:rsidR="0033177B" w:rsidRPr="00B945F8">
        <w:rPr>
          <w:rFonts w:eastAsia="Times New Roman"/>
        </w:rPr>
        <w:t>’</w:t>
      </w:r>
      <w:r w:rsidRPr="00B945F8">
        <w:rPr>
          <w:rFonts w:eastAsia="Times New Roman"/>
        </w:rPr>
        <w:t>s testimony about his former gang membership, the affiliation between his gang and the Bloods and his position of trust as an enforcer explained the FBI</w:t>
      </w:r>
      <w:r w:rsidR="0033177B" w:rsidRPr="00B945F8">
        <w:rPr>
          <w:rFonts w:eastAsia="Times New Roman"/>
        </w:rPr>
        <w:t>’</w:t>
      </w:r>
      <w:r w:rsidRPr="00B945F8">
        <w:rPr>
          <w:rFonts w:eastAsia="Times New Roman"/>
        </w:rPr>
        <w:t>s interest in his services as a CI.</w:t>
      </w:r>
      <w:r w:rsidR="00435748" w:rsidRPr="00B945F8">
        <w:rPr>
          <w:rFonts w:eastAsia="Times New Roman"/>
        </w:rPr>
        <w:t xml:space="preserve"> </w:t>
      </w:r>
      <w:r w:rsidRPr="00B945F8">
        <w:rPr>
          <w:rFonts w:eastAsia="Times New Roman"/>
        </w:rPr>
        <w:t xml:space="preserve">His testimony about the </w:t>
      </w:r>
      <w:r w:rsidR="005B0BB3" w:rsidRPr="00B945F8">
        <w:rPr>
          <w:rFonts w:eastAsia="Times New Roman"/>
        </w:rPr>
        <w:t xml:space="preserve">[store’s] </w:t>
      </w:r>
      <w:r w:rsidRPr="00B945F8">
        <w:rPr>
          <w:rFonts w:eastAsia="Times New Roman"/>
        </w:rPr>
        <w:t>owner</w:t>
      </w:r>
      <w:r w:rsidR="0033177B" w:rsidRPr="00B945F8">
        <w:rPr>
          <w:rFonts w:eastAsia="Times New Roman"/>
        </w:rPr>
        <w:t>’</w:t>
      </w:r>
      <w:r w:rsidRPr="00B945F8">
        <w:rPr>
          <w:rFonts w:eastAsia="Times New Roman"/>
        </w:rPr>
        <w:t>s gang affiliation provided background information that explained the FBI</w:t>
      </w:r>
      <w:r w:rsidR="0033177B" w:rsidRPr="00B945F8">
        <w:rPr>
          <w:rFonts w:eastAsia="Times New Roman"/>
        </w:rPr>
        <w:t>’</w:t>
      </w:r>
      <w:r w:rsidRPr="00B945F8">
        <w:rPr>
          <w:rFonts w:eastAsia="Times New Roman"/>
        </w:rPr>
        <w:t>s surveillance of the store and the CI</w:t>
      </w:r>
      <w:r w:rsidR="0033177B" w:rsidRPr="00B945F8">
        <w:rPr>
          <w:rFonts w:eastAsia="Times New Roman"/>
        </w:rPr>
        <w:t>’</w:t>
      </w:r>
      <w:r w:rsidRPr="00B945F8">
        <w:rPr>
          <w:rFonts w:eastAsia="Times New Roman"/>
        </w:rPr>
        <w:t>s presence there.</w:t>
      </w:r>
      <w:r w:rsidR="00A126BD" w:rsidRPr="00B945F8">
        <w:rPr>
          <w:rFonts w:eastAsia="Times New Roman"/>
        </w:rPr>
        <w:t xml:space="preserve"> </w:t>
      </w:r>
      <w:r w:rsidRPr="00B945F8">
        <w:rPr>
          <w:rFonts w:eastAsia="Times New Roman"/>
        </w:rPr>
        <w:t>As for defendant himself, evidence of his gang membership and status within the gang hierarchy helped the jury to understand why the CI felt comfortable approaching him about the gun sale and how defendant was able to arrange the sale while removing himself from physical involvement</w:t>
      </w:r>
      <w:r w:rsidR="00B477E6" w:rsidRPr="00B945F8">
        <w:rPr>
          <w:rFonts w:eastAsia="Times New Roman"/>
        </w:rPr>
        <w:t>”</w:t>
      </w:r>
      <w:r w:rsidR="00435748" w:rsidRPr="00B945F8">
        <w:rPr>
          <w:rFonts w:eastAsia="Times New Roman"/>
        </w:rPr>
        <w:t>)</w:t>
      </w:r>
      <w:r w:rsidR="00F749EA" w:rsidRPr="00B945F8">
        <w:rPr>
          <w:rFonts w:eastAsia="Times New Roman"/>
        </w:rPr>
        <w:t>.</w:t>
      </w:r>
    </w:p>
    <w:p w14:paraId="393648FA" w14:textId="77777777" w:rsidR="00BD0003" w:rsidRPr="00B945F8" w:rsidRDefault="00BD0003" w:rsidP="00306EA2">
      <w:pPr>
        <w:shd w:val="clear" w:color="auto" w:fill="FFFFFF"/>
        <w:spacing w:before="0" w:line="240" w:lineRule="auto"/>
        <w:rPr>
          <w:rFonts w:eastAsia="Times New Roman"/>
        </w:rPr>
      </w:pPr>
    </w:p>
    <w:p w14:paraId="02B2B5D8" w14:textId="50331B6E" w:rsidR="00AD2D98" w:rsidRPr="00B945F8" w:rsidRDefault="00D57660" w:rsidP="007F28A8">
      <w:pPr>
        <w:pStyle w:val="ListParagraph"/>
        <w:numPr>
          <w:ilvl w:val="0"/>
          <w:numId w:val="1"/>
        </w:numPr>
        <w:shd w:val="clear" w:color="auto" w:fill="FFFFFF"/>
        <w:spacing w:before="0" w:line="240" w:lineRule="auto"/>
        <w:jc w:val="both"/>
        <w:rPr>
          <w:rFonts w:eastAsia="Times New Roman"/>
        </w:rPr>
      </w:pPr>
      <w:r w:rsidRPr="00B945F8">
        <w:rPr>
          <w:rFonts w:eastAsia="Times New Roman"/>
          <w:i/>
          <w:iCs/>
        </w:rPr>
        <w:t>People v Argueta</w:t>
      </w:r>
      <w:r w:rsidRPr="00B945F8">
        <w:rPr>
          <w:rFonts w:eastAsia="Times New Roman"/>
        </w:rPr>
        <w:t xml:space="preserve">, 194 AD3d 857, 858 </w:t>
      </w:r>
      <w:r w:rsidR="00444804" w:rsidRPr="00B945F8">
        <w:rPr>
          <w:rFonts w:eastAsia="Times New Roman"/>
        </w:rPr>
        <w:t>(</w:t>
      </w:r>
      <w:r w:rsidRPr="00B945F8">
        <w:rPr>
          <w:rFonts w:eastAsia="Times New Roman"/>
        </w:rPr>
        <w:t>2d Dept 2021</w:t>
      </w:r>
      <w:r w:rsidR="00444804" w:rsidRPr="00B945F8">
        <w:rPr>
          <w:rFonts w:eastAsia="Times New Roman"/>
        </w:rPr>
        <w:t>) (I</w:t>
      </w:r>
      <w:r w:rsidR="00E10A2B" w:rsidRPr="00B945F8">
        <w:rPr>
          <w:rFonts w:eastAsia="Times New Roman"/>
        </w:rPr>
        <w:t>n a prosecution for attempted murder, the “</w:t>
      </w:r>
      <w:r w:rsidR="00FC7513" w:rsidRPr="00B945F8">
        <w:t>testimony regarding the defendant</w:t>
      </w:r>
      <w:r w:rsidR="0033177B" w:rsidRPr="00B945F8">
        <w:t>’</w:t>
      </w:r>
      <w:r w:rsidR="00FC7513" w:rsidRPr="00B945F8">
        <w:t>s membership in a gang and prior encounters with the victim was properly admitted to establish motive and intent, and to explain the defendant</w:t>
      </w:r>
      <w:r w:rsidR="0033177B" w:rsidRPr="00B945F8">
        <w:t>’</w:t>
      </w:r>
      <w:r w:rsidR="00FC7513" w:rsidRPr="00B945F8">
        <w:t>s connection to his accomplices and their relationship with the victim</w:t>
      </w:r>
      <w:r w:rsidR="0093051A" w:rsidRPr="00B945F8">
        <w:t xml:space="preserve">, </w:t>
      </w:r>
      <w:r w:rsidR="00FC7513" w:rsidRPr="00B945F8">
        <w:t>and the prejudicial effect of that testimony did not outweigh its probative value</w:t>
      </w:r>
      <w:r w:rsidR="0093051A" w:rsidRPr="00B945F8">
        <w:t>” [citations omitted]).</w:t>
      </w:r>
    </w:p>
    <w:p w14:paraId="1708EB61" w14:textId="77777777" w:rsidR="006F1974" w:rsidRPr="00B945F8" w:rsidRDefault="006F1974" w:rsidP="00306EA2">
      <w:pPr>
        <w:spacing w:before="0" w:line="240" w:lineRule="auto"/>
        <w:rPr>
          <w:rFonts w:eastAsia="Times New Roman"/>
        </w:rPr>
      </w:pPr>
    </w:p>
    <w:p w14:paraId="4DA09080" w14:textId="2478ECAD" w:rsidR="006F1974" w:rsidRPr="00B945F8" w:rsidRDefault="006F1974" w:rsidP="007F28A8">
      <w:pPr>
        <w:pStyle w:val="ListParagraph"/>
        <w:numPr>
          <w:ilvl w:val="0"/>
          <w:numId w:val="1"/>
        </w:numPr>
        <w:shd w:val="clear" w:color="auto" w:fill="FFFFFF"/>
        <w:spacing w:before="0" w:line="240" w:lineRule="auto"/>
        <w:jc w:val="both"/>
        <w:rPr>
          <w:rFonts w:eastAsia="Times New Roman"/>
        </w:rPr>
      </w:pPr>
      <w:r w:rsidRPr="00B945F8">
        <w:rPr>
          <w:rFonts w:eastAsia="Times New Roman"/>
          <w:i/>
          <w:iCs/>
        </w:rPr>
        <w:t xml:space="preserve">People v </w:t>
      </w:r>
      <w:bookmarkStart w:id="5" w:name="_Hlk115866134"/>
      <w:r w:rsidRPr="00B945F8">
        <w:rPr>
          <w:rFonts w:eastAsia="Times New Roman"/>
          <w:i/>
          <w:iCs/>
        </w:rPr>
        <w:t>McCommons</w:t>
      </w:r>
      <w:bookmarkEnd w:id="5"/>
      <w:r w:rsidRPr="00B945F8">
        <w:rPr>
          <w:rFonts w:eastAsia="Times New Roman"/>
        </w:rPr>
        <w:t xml:space="preserve">, 143 AD3d 1150, 1154 </w:t>
      </w:r>
      <w:r w:rsidR="0065692B" w:rsidRPr="00B945F8">
        <w:rPr>
          <w:rFonts w:eastAsia="Times New Roman"/>
        </w:rPr>
        <w:t>(</w:t>
      </w:r>
      <w:r w:rsidRPr="00B945F8">
        <w:rPr>
          <w:rFonts w:eastAsia="Times New Roman"/>
        </w:rPr>
        <w:t>3d Dept 2016</w:t>
      </w:r>
      <w:r w:rsidR="0065692B" w:rsidRPr="00B945F8">
        <w:rPr>
          <w:rFonts w:eastAsia="Times New Roman"/>
        </w:rPr>
        <w:t>) (I</w:t>
      </w:r>
      <w:r w:rsidR="00245AB7" w:rsidRPr="00B945F8">
        <w:rPr>
          <w:rFonts w:eastAsia="Times New Roman"/>
        </w:rPr>
        <w:t xml:space="preserve">n a prosecution for </w:t>
      </w:r>
      <w:r w:rsidR="006736BA" w:rsidRPr="00B945F8">
        <w:rPr>
          <w:rFonts w:eastAsia="Times New Roman"/>
        </w:rPr>
        <w:t>murder</w:t>
      </w:r>
      <w:r w:rsidR="008554BD" w:rsidRPr="00B945F8">
        <w:rPr>
          <w:rFonts w:eastAsia="Times New Roman"/>
        </w:rPr>
        <w:t xml:space="preserve"> and other crimes, the trial cou</w:t>
      </w:r>
      <w:r w:rsidR="003108F2" w:rsidRPr="00B945F8">
        <w:rPr>
          <w:rFonts w:eastAsia="Times New Roman"/>
        </w:rPr>
        <w:t>r</w:t>
      </w:r>
      <w:r w:rsidR="008554BD" w:rsidRPr="00B945F8">
        <w:rPr>
          <w:rFonts w:eastAsia="Times New Roman"/>
        </w:rPr>
        <w:t>t</w:t>
      </w:r>
      <w:r w:rsidRPr="00B945F8">
        <w:rPr>
          <w:rFonts w:eastAsia="Times New Roman"/>
        </w:rPr>
        <w:t xml:space="preserve"> </w:t>
      </w:r>
      <w:r w:rsidR="00553377" w:rsidRPr="00B945F8">
        <w:rPr>
          <w:rFonts w:eastAsia="Times New Roman"/>
        </w:rPr>
        <w:t>“</w:t>
      </w:r>
      <w:r w:rsidRPr="00B945F8">
        <w:rPr>
          <w:rFonts w:eastAsia="Times New Roman"/>
        </w:rPr>
        <w:t>did not err in permitting the People to establish that defendant was a gang member</w:t>
      </w:r>
      <w:r w:rsidR="004D3BDB" w:rsidRPr="00B945F8">
        <w:rPr>
          <w:rFonts w:eastAsia="Times New Roman"/>
        </w:rPr>
        <w:t>.</w:t>
      </w:r>
      <w:r w:rsidR="00CE4AB0" w:rsidRPr="00B945F8">
        <w:rPr>
          <w:rFonts w:eastAsia="Times New Roman"/>
        </w:rPr>
        <w:t>” The</w:t>
      </w:r>
      <w:r w:rsidRPr="00B945F8">
        <w:rPr>
          <w:rFonts w:eastAsia="Times New Roman"/>
        </w:rPr>
        <w:t xml:space="preserve"> evidence </w:t>
      </w:r>
      <w:r w:rsidR="00CE4AB0" w:rsidRPr="00B945F8">
        <w:rPr>
          <w:rFonts w:eastAsia="Times New Roman"/>
        </w:rPr>
        <w:t>“</w:t>
      </w:r>
      <w:r w:rsidRPr="00B945F8">
        <w:rPr>
          <w:rFonts w:eastAsia="Times New Roman"/>
        </w:rPr>
        <w:t>provided background information that assisted the jury in understanding the audiotaped conversation</w:t>
      </w:r>
      <w:r w:rsidR="00A20EF4" w:rsidRPr="00B945F8">
        <w:rPr>
          <w:rFonts w:eastAsia="Times New Roman"/>
        </w:rPr>
        <w:t xml:space="preserve"> [</w:t>
      </w:r>
      <w:r w:rsidR="00323F8D" w:rsidRPr="00B945F8">
        <w:rPr>
          <w:rFonts w:eastAsia="Times New Roman"/>
        </w:rPr>
        <w:t>that contained</w:t>
      </w:r>
      <w:r w:rsidR="00A20EF4" w:rsidRPr="00B945F8">
        <w:rPr>
          <w:rFonts w:eastAsia="Times New Roman"/>
        </w:rPr>
        <w:t xml:space="preserve"> incriminating </w:t>
      </w:r>
      <w:r w:rsidR="008554BD" w:rsidRPr="00B945F8">
        <w:rPr>
          <w:rFonts w:eastAsia="Times New Roman"/>
        </w:rPr>
        <w:t>admissions]</w:t>
      </w:r>
      <w:r w:rsidRPr="00B945F8">
        <w:rPr>
          <w:rFonts w:eastAsia="Times New Roman"/>
        </w:rPr>
        <w:t>, as well as defendant</w:t>
      </w:r>
      <w:r w:rsidR="0033177B" w:rsidRPr="00B945F8">
        <w:rPr>
          <w:rFonts w:eastAsia="Times New Roman"/>
        </w:rPr>
        <w:t>’</w:t>
      </w:r>
      <w:r w:rsidRPr="00B945F8">
        <w:rPr>
          <w:rFonts w:eastAsia="Times New Roman"/>
        </w:rPr>
        <w:t xml:space="preserve">s trusting relationships with, among others, certain gang members to whom he made admissions and a gang member who loaned him the gun used in committing the </w:t>
      </w:r>
      <w:r w:rsidR="00972A41" w:rsidRPr="00B945F8">
        <w:rPr>
          <w:rFonts w:eastAsia="Times New Roman"/>
        </w:rPr>
        <w:t>crimes.</w:t>
      </w:r>
      <w:r w:rsidR="0016385E" w:rsidRPr="00B945F8">
        <w:rPr>
          <w:rFonts w:eastAsia="Times New Roman"/>
        </w:rPr>
        <w:t xml:space="preserve"> </w:t>
      </w:r>
      <w:r w:rsidRPr="00B945F8">
        <w:rPr>
          <w:rFonts w:eastAsia="Times New Roman"/>
        </w:rPr>
        <w:t>Notably, the court again mitigated any undue prejudice by providing limiting instructions</w:t>
      </w:r>
      <w:r w:rsidR="0016385E" w:rsidRPr="00B945F8">
        <w:rPr>
          <w:rFonts w:eastAsia="Times New Roman"/>
        </w:rPr>
        <w:t xml:space="preserve">” </w:t>
      </w:r>
      <w:r w:rsidR="00E16C7D" w:rsidRPr="00B945F8">
        <w:rPr>
          <w:rFonts w:eastAsia="Times New Roman"/>
        </w:rPr>
        <w:t>[</w:t>
      </w:r>
      <w:r w:rsidR="0016385E" w:rsidRPr="00B945F8">
        <w:rPr>
          <w:rFonts w:eastAsia="Times New Roman"/>
        </w:rPr>
        <w:t>citations omitted]</w:t>
      </w:r>
      <w:r w:rsidR="00E16C7D" w:rsidRPr="00B945F8">
        <w:rPr>
          <w:rFonts w:eastAsia="Times New Roman"/>
        </w:rPr>
        <w:t>)</w:t>
      </w:r>
      <w:r w:rsidR="0016385E" w:rsidRPr="00B945F8">
        <w:rPr>
          <w:rFonts w:eastAsia="Times New Roman"/>
        </w:rPr>
        <w:t>.</w:t>
      </w:r>
    </w:p>
    <w:p w14:paraId="560FB566" w14:textId="77777777" w:rsidR="00FC7513" w:rsidRPr="00B945F8" w:rsidRDefault="00FC7513" w:rsidP="00306EA2">
      <w:pPr>
        <w:shd w:val="clear" w:color="auto" w:fill="FFFFFF"/>
        <w:spacing w:before="0" w:line="240" w:lineRule="auto"/>
        <w:rPr>
          <w:rFonts w:eastAsia="Times New Roman"/>
        </w:rPr>
      </w:pPr>
    </w:p>
    <w:p w14:paraId="28584251" w14:textId="03969E3F" w:rsidR="00B57F45" w:rsidRPr="00B945F8" w:rsidRDefault="002C6535" w:rsidP="007F28A8">
      <w:pPr>
        <w:shd w:val="clear" w:color="auto" w:fill="FFFFFF"/>
        <w:spacing w:before="0" w:line="240" w:lineRule="auto"/>
        <w:jc w:val="both"/>
        <w:rPr>
          <w:rFonts w:eastAsia="Times New Roman"/>
        </w:rPr>
      </w:pPr>
      <w:r w:rsidRPr="00B945F8">
        <w:rPr>
          <w:rFonts w:eastAsia="Times New Roman"/>
        </w:rPr>
        <w:tab/>
        <w:t xml:space="preserve">By contrast, in </w:t>
      </w:r>
      <w:r w:rsidRPr="00B945F8">
        <w:rPr>
          <w:rFonts w:eastAsia="Times New Roman"/>
          <w:i/>
          <w:iCs/>
        </w:rPr>
        <w:t>People v Kims</w:t>
      </w:r>
      <w:r w:rsidRPr="00B945F8">
        <w:rPr>
          <w:rFonts w:eastAsia="Times New Roman"/>
        </w:rPr>
        <w:t xml:space="preserve"> </w:t>
      </w:r>
      <w:r w:rsidR="00E16C7D" w:rsidRPr="00B945F8">
        <w:rPr>
          <w:rFonts w:eastAsia="Times New Roman"/>
        </w:rPr>
        <w:t>(</w:t>
      </w:r>
      <w:r w:rsidRPr="00B945F8">
        <w:rPr>
          <w:rFonts w:eastAsia="Times New Roman"/>
        </w:rPr>
        <w:t xml:space="preserve">24 NY3d </w:t>
      </w:r>
      <w:r w:rsidR="002C433C" w:rsidRPr="00B945F8">
        <w:rPr>
          <w:rFonts w:eastAsia="Times New Roman"/>
        </w:rPr>
        <w:t>at</w:t>
      </w:r>
      <w:r w:rsidRPr="00B945F8">
        <w:rPr>
          <w:rFonts w:eastAsia="Times New Roman"/>
        </w:rPr>
        <w:t xml:space="preserve"> 439</w:t>
      </w:r>
      <w:r w:rsidR="00E16C7D" w:rsidRPr="00B945F8">
        <w:rPr>
          <w:rFonts w:eastAsia="Times New Roman"/>
        </w:rPr>
        <w:t>)</w:t>
      </w:r>
      <w:r w:rsidR="007F06AC" w:rsidRPr="00B945F8">
        <w:rPr>
          <w:rFonts w:eastAsia="Times New Roman"/>
        </w:rPr>
        <w:t xml:space="preserve">, the Court of Appeals held that </w:t>
      </w:r>
      <w:r w:rsidRPr="00B945F8">
        <w:rPr>
          <w:rFonts w:eastAsia="Times New Roman"/>
        </w:rPr>
        <w:t>“the references to gang activity were not relevant to any material issue. The People</w:t>
      </w:r>
      <w:r w:rsidR="0033177B" w:rsidRPr="00B945F8">
        <w:rPr>
          <w:rFonts w:eastAsia="Times New Roman"/>
        </w:rPr>
        <w:t>’</w:t>
      </w:r>
      <w:r w:rsidRPr="00B945F8">
        <w:rPr>
          <w:rFonts w:eastAsia="Times New Roman"/>
        </w:rPr>
        <w:t>s theory centered on possession and on intent to sell</w:t>
      </w:r>
      <w:r w:rsidR="007F06AC" w:rsidRPr="00B945F8">
        <w:rPr>
          <w:rFonts w:eastAsia="Times New Roman"/>
        </w:rPr>
        <w:t xml:space="preserve"> [drugs].</w:t>
      </w:r>
      <w:r w:rsidR="00E16C7D" w:rsidRPr="00B945F8">
        <w:rPr>
          <w:rFonts w:eastAsia="Times New Roman"/>
        </w:rPr>
        <w:t xml:space="preserve"> </w:t>
      </w:r>
      <w:r w:rsidRPr="00B945F8">
        <w:rPr>
          <w:rFonts w:eastAsia="Times New Roman"/>
        </w:rPr>
        <w:t>It is clear that the testimony about defendant</w:t>
      </w:r>
      <w:r w:rsidR="0033177B" w:rsidRPr="00B945F8">
        <w:rPr>
          <w:rFonts w:eastAsia="Times New Roman"/>
        </w:rPr>
        <w:t>’</w:t>
      </w:r>
      <w:r w:rsidRPr="00B945F8">
        <w:rPr>
          <w:rFonts w:eastAsia="Times New Roman"/>
        </w:rPr>
        <w:t>s alleged gang affiliation would not have provided any relevant background information about how the drugs came to be located in his apartment. Similarly, there was no need to explain the defendant</w:t>
      </w:r>
      <w:r w:rsidR="0033177B" w:rsidRPr="00B945F8">
        <w:rPr>
          <w:rFonts w:eastAsia="Times New Roman"/>
        </w:rPr>
        <w:t>’</w:t>
      </w:r>
      <w:r w:rsidRPr="00B945F8">
        <w:rPr>
          <w:rFonts w:eastAsia="Times New Roman"/>
        </w:rPr>
        <w:t>s relationship to the witnesses by referencing gang affiliation; the testimony clearly indicated their status as buyers as well as their respective relationships to the defendant. Finally, gang affiliation was not interwoven with the charges because there was no evidence that defendant was working with fellow members of his gang to distribute drugs</w:t>
      </w:r>
      <w:r w:rsidR="00E16C7D" w:rsidRPr="00B945F8">
        <w:rPr>
          <w:rFonts w:eastAsia="Times New Roman"/>
        </w:rPr>
        <w:t>.</w:t>
      </w:r>
      <w:r w:rsidRPr="00B945F8">
        <w:rPr>
          <w:rFonts w:eastAsia="Times New Roman"/>
        </w:rPr>
        <w:t>”</w:t>
      </w:r>
    </w:p>
    <w:p w14:paraId="354F11EA" w14:textId="356F1D78" w:rsidR="000C6FC5" w:rsidRPr="00B945F8" w:rsidRDefault="000C6FC5" w:rsidP="007F28A8">
      <w:pPr>
        <w:shd w:val="clear" w:color="auto" w:fill="FFFFFF"/>
        <w:spacing w:before="0" w:line="240" w:lineRule="auto"/>
        <w:jc w:val="both"/>
        <w:rPr>
          <w:rFonts w:eastAsia="Times New Roman"/>
        </w:rPr>
      </w:pPr>
    </w:p>
    <w:p w14:paraId="718F67EC" w14:textId="6DC51238" w:rsidR="00371C68" w:rsidRPr="00B945F8" w:rsidRDefault="000C6FC5" w:rsidP="007F28A8">
      <w:pPr>
        <w:shd w:val="clear" w:color="auto" w:fill="FFFFFF"/>
        <w:spacing w:before="0" w:line="240" w:lineRule="auto"/>
        <w:jc w:val="both"/>
      </w:pPr>
      <w:r w:rsidRPr="00B945F8">
        <w:rPr>
          <w:rFonts w:eastAsia="Times New Roman"/>
        </w:rPr>
        <w:tab/>
      </w:r>
      <w:r w:rsidR="00067047" w:rsidRPr="00B945F8">
        <w:rPr>
          <w:rFonts w:eastAsia="Times New Roman"/>
          <w:i/>
          <w:iCs/>
        </w:rPr>
        <w:t>Bailey</w:t>
      </w:r>
      <w:r w:rsidR="00067047" w:rsidRPr="00B945F8">
        <w:rPr>
          <w:rFonts w:eastAsia="Times New Roman"/>
        </w:rPr>
        <w:t xml:space="preserve">, </w:t>
      </w:r>
      <w:r w:rsidRPr="00B945F8">
        <w:rPr>
          <w:rFonts w:eastAsia="Times New Roman"/>
          <w:i/>
          <w:iCs/>
        </w:rPr>
        <w:t>Benjamin</w:t>
      </w:r>
      <w:r w:rsidR="00583B26" w:rsidRPr="00B945F8">
        <w:rPr>
          <w:rFonts w:eastAsia="Times New Roman"/>
        </w:rPr>
        <w:t>,</w:t>
      </w:r>
      <w:r w:rsidR="00583B26" w:rsidRPr="00B945F8">
        <w:rPr>
          <w:rFonts w:eastAsia="Times New Roman"/>
          <w:i/>
          <w:iCs/>
        </w:rPr>
        <w:t xml:space="preserve"> </w:t>
      </w:r>
      <w:r w:rsidRPr="00B945F8">
        <w:rPr>
          <w:rFonts w:eastAsia="Times New Roman"/>
          <w:i/>
          <w:iCs/>
        </w:rPr>
        <w:t>Hilts</w:t>
      </w:r>
      <w:r w:rsidR="00583B26" w:rsidRPr="00B945F8">
        <w:rPr>
          <w:rFonts w:eastAsia="Times New Roman"/>
        </w:rPr>
        <w:t>,</w:t>
      </w:r>
      <w:r w:rsidRPr="00B945F8">
        <w:rPr>
          <w:rFonts w:eastAsia="Times New Roman"/>
          <w:i/>
          <w:iCs/>
        </w:rPr>
        <w:t xml:space="preserve"> </w:t>
      </w:r>
      <w:r w:rsidR="00583B26" w:rsidRPr="00B945F8">
        <w:rPr>
          <w:rFonts w:eastAsia="Times New Roman"/>
          <w:i/>
          <w:iCs/>
        </w:rPr>
        <w:t>McCommons</w:t>
      </w:r>
      <w:r w:rsidR="00E1319A" w:rsidRPr="00B945F8">
        <w:rPr>
          <w:rFonts w:eastAsia="Times New Roman"/>
        </w:rPr>
        <w:t>,</w:t>
      </w:r>
      <w:r w:rsidR="00583B26" w:rsidRPr="00B945F8">
        <w:rPr>
          <w:rFonts w:eastAsia="Times New Roman"/>
        </w:rPr>
        <w:t xml:space="preserve"> </w:t>
      </w:r>
      <w:r w:rsidR="00BF09E1" w:rsidRPr="00B945F8">
        <w:rPr>
          <w:rFonts w:eastAsia="Times New Roman"/>
        </w:rPr>
        <w:t xml:space="preserve">and other cases </w:t>
      </w:r>
      <w:r w:rsidRPr="00B945F8">
        <w:rPr>
          <w:rFonts w:eastAsia="Times New Roman"/>
        </w:rPr>
        <w:t xml:space="preserve">illustrate varying methods by which a gang affiliation </w:t>
      </w:r>
      <w:r w:rsidR="007A1929" w:rsidRPr="00B945F8">
        <w:rPr>
          <w:rFonts w:eastAsia="Times New Roman"/>
        </w:rPr>
        <w:t xml:space="preserve">or gang activity </w:t>
      </w:r>
      <w:r w:rsidRPr="00B945F8">
        <w:rPr>
          <w:rFonts w:eastAsia="Times New Roman"/>
        </w:rPr>
        <w:t>may be proved</w:t>
      </w:r>
      <w:r w:rsidR="00BE6542" w:rsidRPr="00B945F8">
        <w:rPr>
          <w:rFonts w:eastAsia="Times New Roman"/>
        </w:rPr>
        <w:t>,</w:t>
      </w:r>
      <w:r w:rsidR="00583B26" w:rsidRPr="00B945F8">
        <w:rPr>
          <w:rFonts w:eastAsia="Times New Roman"/>
        </w:rPr>
        <w:t xml:space="preserve"> namely,</w:t>
      </w:r>
      <w:r w:rsidR="0032071D" w:rsidRPr="00B945F8">
        <w:rPr>
          <w:rFonts w:eastAsia="Times New Roman"/>
        </w:rPr>
        <w:t xml:space="preserve"> </w:t>
      </w:r>
      <w:r w:rsidR="00067047" w:rsidRPr="00B945F8">
        <w:rPr>
          <w:rFonts w:eastAsia="Times New Roman"/>
        </w:rPr>
        <w:t xml:space="preserve">reference to </w:t>
      </w:r>
      <w:r w:rsidR="0008710D" w:rsidRPr="00B945F8">
        <w:rPr>
          <w:rFonts w:eastAsia="Times New Roman"/>
        </w:rPr>
        <w:t xml:space="preserve">a </w:t>
      </w:r>
      <w:r w:rsidR="00C266E4" w:rsidRPr="00B945F8">
        <w:rPr>
          <w:rFonts w:eastAsia="Times New Roman"/>
        </w:rPr>
        <w:t xml:space="preserve">gang during commission of the crime </w:t>
      </w:r>
      <w:r w:rsidR="00E16C7D" w:rsidRPr="00B945F8">
        <w:rPr>
          <w:rFonts w:eastAsia="Times New Roman"/>
        </w:rPr>
        <w:t>(</w:t>
      </w:r>
      <w:r w:rsidR="00C266E4" w:rsidRPr="00B945F8">
        <w:rPr>
          <w:rFonts w:eastAsia="Times New Roman"/>
          <w:i/>
          <w:iCs/>
        </w:rPr>
        <w:t>Bailey</w:t>
      </w:r>
      <w:r w:rsidR="00E16C7D" w:rsidRPr="00B945F8">
        <w:rPr>
          <w:rFonts w:eastAsia="Times New Roman"/>
        </w:rPr>
        <w:t>)</w:t>
      </w:r>
      <w:r w:rsidR="00C266E4" w:rsidRPr="00B945F8">
        <w:rPr>
          <w:rFonts w:eastAsia="Times New Roman"/>
        </w:rPr>
        <w:t xml:space="preserve">; </w:t>
      </w:r>
      <w:r w:rsidR="0032071D" w:rsidRPr="00B945F8">
        <w:rPr>
          <w:rFonts w:eastAsia="Times New Roman"/>
        </w:rPr>
        <w:t xml:space="preserve">photographs </w:t>
      </w:r>
      <w:r w:rsidR="007A1929" w:rsidRPr="00B945F8">
        <w:rPr>
          <w:rFonts w:eastAsia="Times New Roman"/>
        </w:rPr>
        <w:t>evincing</w:t>
      </w:r>
      <w:r w:rsidR="0032071D" w:rsidRPr="00B945F8">
        <w:rPr>
          <w:rFonts w:eastAsia="Times New Roman"/>
        </w:rPr>
        <w:t xml:space="preserve"> the defendant’s affiliation with a gang</w:t>
      </w:r>
      <w:r w:rsidR="00583B26" w:rsidRPr="00B945F8">
        <w:rPr>
          <w:rFonts w:eastAsia="Times New Roman"/>
        </w:rPr>
        <w:t xml:space="preserve"> </w:t>
      </w:r>
      <w:r w:rsidR="00E16C7D" w:rsidRPr="00B945F8">
        <w:rPr>
          <w:rFonts w:eastAsia="Times New Roman"/>
        </w:rPr>
        <w:t>(</w:t>
      </w:r>
      <w:r w:rsidR="00583B26" w:rsidRPr="00B945F8">
        <w:rPr>
          <w:rFonts w:eastAsia="Times New Roman"/>
          <w:i/>
          <w:iCs/>
        </w:rPr>
        <w:t>Benjamin</w:t>
      </w:r>
      <w:r w:rsidR="00E16C7D" w:rsidRPr="00B945F8">
        <w:rPr>
          <w:rFonts w:eastAsia="Times New Roman"/>
        </w:rPr>
        <w:t>)</w:t>
      </w:r>
      <w:r w:rsidR="00583B26" w:rsidRPr="00B945F8">
        <w:rPr>
          <w:rFonts w:eastAsia="Times New Roman"/>
        </w:rPr>
        <w:t xml:space="preserve">; </w:t>
      </w:r>
      <w:r w:rsidR="00C37B82" w:rsidRPr="00B945F8">
        <w:rPr>
          <w:rFonts w:eastAsia="Times New Roman"/>
        </w:rPr>
        <w:t xml:space="preserve">a confidential </w:t>
      </w:r>
      <w:r w:rsidR="00C37B82" w:rsidRPr="00B945F8">
        <w:rPr>
          <w:rFonts w:eastAsia="Times New Roman"/>
        </w:rPr>
        <w:lastRenderedPageBreak/>
        <w:t>informer who</w:t>
      </w:r>
      <w:r w:rsidR="007A1929" w:rsidRPr="00B945F8">
        <w:rPr>
          <w:rFonts w:eastAsia="Times New Roman"/>
        </w:rPr>
        <w:t xml:space="preserve">se membership in a gang facilitated his </w:t>
      </w:r>
      <w:r w:rsidR="00D104E7" w:rsidRPr="00B945F8">
        <w:rPr>
          <w:rFonts w:eastAsia="Times New Roman"/>
        </w:rPr>
        <w:t xml:space="preserve">purchase </w:t>
      </w:r>
      <w:r w:rsidR="007A1929" w:rsidRPr="00B945F8">
        <w:rPr>
          <w:rFonts w:eastAsia="Times New Roman"/>
        </w:rPr>
        <w:t xml:space="preserve">of </w:t>
      </w:r>
      <w:r w:rsidR="00D104E7" w:rsidRPr="00B945F8">
        <w:rPr>
          <w:rFonts w:eastAsia="Times New Roman"/>
        </w:rPr>
        <w:t xml:space="preserve">a firearm from the defendant </w:t>
      </w:r>
      <w:r w:rsidR="00E16C7D" w:rsidRPr="00B945F8">
        <w:rPr>
          <w:rFonts w:eastAsia="Times New Roman"/>
        </w:rPr>
        <w:t>(</w:t>
      </w:r>
      <w:r w:rsidR="00793CB9" w:rsidRPr="00B945F8">
        <w:rPr>
          <w:rFonts w:eastAsia="Times New Roman"/>
          <w:i/>
          <w:iCs/>
        </w:rPr>
        <w:t>Hilts</w:t>
      </w:r>
      <w:r w:rsidR="00E16C7D" w:rsidRPr="00B945F8">
        <w:rPr>
          <w:rFonts w:eastAsia="Times New Roman"/>
        </w:rPr>
        <w:t>)</w:t>
      </w:r>
      <w:r w:rsidR="00793CB9" w:rsidRPr="00B945F8">
        <w:rPr>
          <w:rFonts w:eastAsia="Times New Roman"/>
        </w:rPr>
        <w:t xml:space="preserve">; admissions </w:t>
      </w:r>
      <w:r w:rsidR="00E16C7D" w:rsidRPr="00B945F8">
        <w:rPr>
          <w:rFonts w:eastAsia="Times New Roman"/>
        </w:rPr>
        <w:t>(</w:t>
      </w:r>
      <w:r w:rsidR="00793CB9" w:rsidRPr="00B945F8">
        <w:rPr>
          <w:rFonts w:eastAsia="Times New Roman"/>
          <w:i/>
          <w:iCs/>
        </w:rPr>
        <w:t>McCommons</w:t>
      </w:r>
      <w:r w:rsidR="00E16C7D" w:rsidRPr="00B945F8">
        <w:rPr>
          <w:rFonts w:eastAsia="Times New Roman"/>
        </w:rPr>
        <w:t>)</w:t>
      </w:r>
      <w:r w:rsidR="00793CB9" w:rsidRPr="00B945F8">
        <w:rPr>
          <w:rFonts w:eastAsia="Times New Roman"/>
        </w:rPr>
        <w:t xml:space="preserve">; identification </w:t>
      </w:r>
      <w:r w:rsidR="00776B63" w:rsidRPr="00B945F8">
        <w:rPr>
          <w:rFonts w:eastAsia="Times New Roman"/>
        </w:rPr>
        <w:t xml:space="preserve">of the defendant </w:t>
      </w:r>
      <w:r w:rsidR="00793CB9" w:rsidRPr="00B945F8">
        <w:rPr>
          <w:rFonts w:eastAsia="Times New Roman"/>
        </w:rPr>
        <w:t xml:space="preserve">at trial </w:t>
      </w:r>
      <w:r w:rsidR="007A1929" w:rsidRPr="00B945F8">
        <w:rPr>
          <w:rFonts w:eastAsia="Times New Roman"/>
        </w:rPr>
        <w:t>as the shooter “</w:t>
      </w:r>
      <w:r w:rsidR="00793CB9" w:rsidRPr="00B945F8">
        <w:rPr>
          <w:rFonts w:eastAsia="Times New Roman"/>
        </w:rPr>
        <w:t>by a fellow gang member</w:t>
      </w:r>
      <w:r w:rsidR="007A1929" w:rsidRPr="00B945F8">
        <w:rPr>
          <w:rFonts w:eastAsia="Times New Roman"/>
        </w:rPr>
        <w:t>”</w:t>
      </w:r>
      <w:r w:rsidR="00793CB9" w:rsidRPr="00B945F8">
        <w:rPr>
          <w:rFonts w:eastAsia="Times New Roman"/>
        </w:rPr>
        <w:t xml:space="preserve"> </w:t>
      </w:r>
      <w:r w:rsidR="00E16C7D" w:rsidRPr="00B945F8">
        <w:rPr>
          <w:rFonts w:eastAsia="Times New Roman"/>
        </w:rPr>
        <w:t>(</w:t>
      </w:r>
      <w:r w:rsidRPr="00B945F8">
        <w:rPr>
          <w:i/>
          <w:iCs/>
          <w:bdr w:val="none" w:sz="0" w:space="0" w:color="auto" w:frame="1"/>
        </w:rPr>
        <w:t>People v Evans</w:t>
      </w:r>
      <w:r w:rsidRPr="00B945F8">
        <w:t>, 132 AD3d 1398, 1398</w:t>
      </w:r>
      <w:r w:rsidR="00E16C7D" w:rsidRPr="00B945F8">
        <w:t xml:space="preserve"> </w:t>
      </w:r>
      <w:r w:rsidR="007A1929" w:rsidRPr="00B945F8">
        <w:rPr>
          <w:rFonts w:eastAsia="Times New Roman"/>
        </w:rPr>
        <w:t>[4th Dept 2015]</w:t>
      </w:r>
      <w:r w:rsidR="00E16C7D" w:rsidRPr="00B945F8">
        <w:rPr>
          <w:rFonts w:eastAsia="Times New Roman"/>
        </w:rPr>
        <w:t>)</w:t>
      </w:r>
      <w:r w:rsidR="00DB5B82" w:rsidRPr="00B945F8">
        <w:rPr>
          <w:rFonts w:eastAsia="Times New Roman"/>
        </w:rPr>
        <w:t xml:space="preserve">; </w:t>
      </w:r>
      <w:r w:rsidR="00CD52B0" w:rsidRPr="00B945F8">
        <w:rPr>
          <w:rFonts w:eastAsia="Times New Roman"/>
        </w:rPr>
        <w:t>clothing identified with a particular gang</w:t>
      </w:r>
      <w:r w:rsidR="0064277B" w:rsidRPr="00B945F8">
        <w:rPr>
          <w:rFonts w:eastAsia="Times New Roman"/>
        </w:rPr>
        <w:t xml:space="preserve"> </w:t>
      </w:r>
      <w:r w:rsidR="00E16C7D" w:rsidRPr="00B945F8">
        <w:rPr>
          <w:rFonts w:eastAsia="Times New Roman"/>
        </w:rPr>
        <w:t>(</w:t>
      </w:r>
      <w:r w:rsidR="00E16C7D" w:rsidRPr="00B945F8">
        <w:rPr>
          <w:rFonts w:eastAsia="Times New Roman"/>
          <w:i/>
          <w:iCs/>
        </w:rPr>
        <w:t xml:space="preserve">Matter of </w:t>
      </w:r>
      <w:r w:rsidR="00756CCA" w:rsidRPr="00B945F8">
        <w:rPr>
          <w:rFonts w:eastAsia="Times New Roman"/>
          <w:i/>
          <w:iCs/>
        </w:rPr>
        <w:t>Donovan B.</w:t>
      </w:r>
      <w:r w:rsidR="00756CCA" w:rsidRPr="00B945F8">
        <w:rPr>
          <w:rFonts w:eastAsia="Times New Roman"/>
        </w:rPr>
        <w:t>, 278 AD2d 95, 95-96</w:t>
      </w:r>
      <w:r w:rsidR="00E16C7D" w:rsidRPr="00B945F8">
        <w:rPr>
          <w:rFonts w:eastAsia="Times New Roman"/>
        </w:rPr>
        <w:t xml:space="preserve"> </w:t>
      </w:r>
      <w:r w:rsidR="00756CCA" w:rsidRPr="00B945F8">
        <w:rPr>
          <w:rFonts w:eastAsia="Times New Roman"/>
        </w:rPr>
        <w:t>[1st Dept 2000]</w:t>
      </w:r>
      <w:r w:rsidR="0064277B" w:rsidRPr="00B945F8">
        <w:rPr>
          <w:rFonts w:eastAsia="Times New Roman"/>
        </w:rPr>
        <w:t xml:space="preserve"> [</w:t>
      </w:r>
      <w:r w:rsidR="00F81ACE" w:rsidRPr="00B945F8">
        <w:rPr>
          <w:rFonts w:eastAsia="Times New Roman"/>
        </w:rPr>
        <w:t>“</w:t>
      </w:r>
      <w:r w:rsidR="00E16C7D" w:rsidRPr="00B945F8">
        <w:rPr>
          <w:rFonts w:eastAsia="Times New Roman"/>
        </w:rPr>
        <w:t>(A)</w:t>
      </w:r>
      <w:proofErr w:type="spellStart"/>
      <w:r w:rsidR="00756CCA" w:rsidRPr="00B945F8">
        <w:rPr>
          <w:rFonts w:eastAsia="Times New Roman"/>
        </w:rPr>
        <w:t>ppellant</w:t>
      </w:r>
      <w:proofErr w:type="spellEnd"/>
      <w:r w:rsidR="00756CCA" w:rsidRPr="00B945F8">
        <w:rPr>
          <w:rFonts w:eastAsia="Times New Roman"/>
        </w:rPr>
        <w:t xml:space="preserve">, who was wearing blue </w:t>
      </w:r>
      <w:r w:rsidR="00756CCA" w:rsidRPr="00B945F8">
        <w:rPr>
          <w:rFonts w:eastAsia="Times New Roman"/>
          <w:shd w:val="clear" w:color="auto" w:fill="FFFFFF"/>
        </w:rPr>
        <w:t>clothing</w:t>
      </w:r>
      <w:r w:rsidR="00756CCA" w:rsidRPr="00B945F8">
        <w:rPr>
          <w:rFonts w:eastAsia="Times New Roman"/>
        </w:rPr>
        <w:t xml:space="preserve"> associated with the </w:t>
      </w:r>
      <w:r w:rsidR="00E16C7D" w:rsidRPr="00B945F8">
        <w:rPr>
          <w:rFonts w:eastAsia="Times New Roman"/>
        </w:rPr>
        <w:t>‘</w:t>
      </w:r>
      <w:r w:rsidR="00756CCA" w:rsidRPr="00B945F8">
        <w:rPr>
          <w:rFonts w:eastAsia="Times New Roman"/>
        </w:rPr>
        <w:t>Crips</w:t>
      </w:r>
      <w:r w:rsidR="00E16C7D" w:rsidRPr="00B945F8">
        <w:rPr>
          <w:rFonts w:eastAsia="Times New Roman"/>
        </w:rPr>
        <w:t>’</w:t>
      </w:r>
      <w:r w:rsidR="00756CCA" w:rsidRPr="00B945F8">
        <w:rPr>
          <w:rFonts w:eastAsia="Times New Roman"/>
        </w:rPr>
        <w:t xml:space="preserve"> </w:t>
      </w:r>
      <w:r w:rsidR="00756CCA" w:rsidRPr="00B945F8">
        <w:rPr>
          <w:rFonts w:eastAsia="Times New Roman"/>
          <w:shd w:val="clear" w:color="auto" w:fill="FFFFFF"/>
        </w:rPr>
        <w:t>gang</w:t>
      </w:r>
      <w:r w:rsidR="00756CCA" w:rsidRPr="00B945F8">
        <w:rPr>
          <w:rFonts w:eastAsia="Times New Roman"/>
        </w:rPr>
        <w:t xml:space="preserve">, was engaged in a punching and kicking fight with an individual wearing red, associated with the </w:t>
      </w:r>
      <w:r w:rsidR="00E16C7D" w:rsidRPr="00B945F8">
        <w:rPr>
          <w:rFonts w:eastAsia="Times New Roman"/>
        </w:rPr>
        <w:t>‘</w:t>
      </w:r>
      <w:r w:rsidR="00756CCA" w:rsidRPr="00B945F8">
        <w:rPr>
          <w:rFonts w:eastAsia="Times New Roman"/>
        </w:rPr>
        <w:t>Bloods</w:t>
      </w:r>
      <w:r w:rsidR="00E16C7D" w:rsidRPr="00B945F8">
        <w:rPr>
          <w:rFonts w:eastAsia="Times New Roman"/>
        </w:rPr>
        <w:t>’</w:t>
      </w:r>
      <w:r w:rsidR="00756CCA" w:rsidRPr="00B945F8">
        <w:rPr>
          <w:rFonts w:eastAsia="Times New Roman"/>
        </w:rPr>
        <w:t xml:space="preserve"> </w:t>
      </w:r>
      <w:r w:rsidR="00756CCA" w:rsidRPr="00B945F8">
        <w:rPr>
          <w:rFonts w:eastAsia="Times New Roman"/>
          <w:shd w:val="clear" w:color="auto" w:fill="FFFFFF"/>
        </w:rPr>
        <w:t>gang</w:t>
      </w:r>
      <w:r w:rsidR="00F81ACE" w:rsidRPr="00B945F8">
        <w:rPr>
          <w:rFonts w:eastAsia="Times New Roman"/>
        </w:rPr>
        <w:t>”]</w:t>
      </w:r>
      <w:r w:rsidR="00E16C7D" w:rsidRPr="00B945F8">
        <w:rPr>
          <w:rFonts w:eastAsia="Times New Roman"/>
        </w:rPr>
        <w:t>)</w:t>
      </w:r>
      <w:r w:rsidR="00AC64EA" w:rsidRPr="00B945F8">
        <w:rPr>
          <w:rFonts w:eastAsia="Times New Roman"/>
        </w:rPr>
        <w:t xml:space="preserve">; gang insignia </w:t>
      </w:r>
      <w:r w:rsidR="00E16C7D" w:rsidRPr="00B945F8">
        <w:rPr>
          <w:rFonts w:eastAsia="Times New Roman"/>
        </w:rPr>
        <w:t>(</w:t>
      </w:r>
      <w:bookmarkStart w:id="6" w:name="_Hlk119677840"/>
      <w:r w:rsidR="00AC64EA" w:rsidRPr="00B945F8">
        <w:rPr>
          <w:rFonts w:eastAsia="Times New Roman"/>
          <w:i/>
          <w:iCs/>
        </w:rPr>
        <w:t>s</w:t>
      </w:r>
      <w:r w:rsidR="00B4587F" w:rsidRPr="00B945F8">
        <w:rPr>
          <w:rFonts w:eastAsia="Times New Roman"/>
          <w:i/>
          <w:iCs/>
        </w:rPr>
        <w:t xml:space="preserve">ee </w:t>
      </w:r>
      <w:r w:rsidR="00F653F8" w:rsidRPr="00B945F8">
        <w:rPr>
          <w:rFonts w:eastAsia="Times New Roman"/>
          <w:i/>
          <w:iCs/>
        </w:rPr>
        <w:t xml:space="preserve">Matter of </w:t>
      </w:r>
      <w:r w:rsidR="00B4587F" w:rsidRPr="00B945F8">
        <w:rPr>
          <w:i/>
          <w:iCs/>
          <w:bdr w:val="none" w:sz="0" w:space="0" w:color="auto" w:frame="1"/>
        </w:rPr>
        <w:t>Doyle v Prack</w:t>
      </w:r>
      <w:r w:rsidR="00B4587F" w:rsidRPr="00B945F8">
        <w:t xml:space="preserve">, 115 AD3d 1110, 1111 </w:t>
      </w:r>
      <w:r w:rsidR="00AC64EA" w:rsidRPr="00B945F8">
        <w:t>[</w:t>
      </w:r>
      <w:r w:rsidR="00E16C7D" w:rsidRPr="00B945F8">
        <w:t xml:space="preserve">3d Dept </w:t>
      </w:r>
      <w:r w:rsidR="00B4587F" w:rsidRPr="00B945F8">
        <w:t>2014</w:t>
      </w:r>
      <w:r w:rsidR="00AC64EA" w:rsidRPr="00B945F8">
        <w:t>]</w:t>
      </w:r>
      <w:bookmarkEnd w:id="6"/>
      <w:r w:rsidR="00AC64EA" w:rsidRPr="00B945F8">
        <w:t xml:space="preserve"> [contrary to prison rules, </w:t>
      </w:r>
      <w:r w:rsidR="00371C68" w:rsidRPr="00B945F8">
        <w:t>petitioner possessed gang-related material</w:t>
      </w:r>
      <w:r w:rsidR="00E04395" w:rsidRPr="00B945F8">
        <w:t>, namely, a</w:t>
      </w:r>
      <w:r w:rsidR="00371C68" w:rsidRPr="00B945F8">
        <w:t xml:space="preserve"> “</w:t>
      </w:r>
      <w:r w:rsidR="00B4587F" w:rsidRPr="00B945F8">
        <w:t xml:space="preserve">black wristband with a white </w:t>
      </w:r>
      <w:r w:rsidR="00E16C7D" w:rsidRPr="00B945F8">
        <w:t>‘</w:t>
      </w:r>
      <w:r w:rsidR="00B61238" w:rsidRPr="00B945F8">
        <w:t>1</w:t>
      </w:r>
      <w:r w:rsidR="007451DC">
        <w:t>%er</w:t>
      </w:r>
      <w:r w:rsidR="00897531" w:rsidRPr="00B945F8">
        <w:t>’</w:t>
      </w:r>
      <w:r w:rsidR="00B4587F" w:rsidRPr="00B945F8">
        <w:t xml:space="preserve"> insignia</w:t>
      </w:r>
      <w:r w:rsidR="00371C68" w:rsidRPr="00B945F8">
        <w:t>”</w:t>
      </w:r>
      <w:r w:rsidR="00995871" w:rsidRPr="00B945F8">
        <w:t>]</w:t>
      </w:r>
      <w:r w:rsidR="00E16C7D" w:rsidRPr="00B945F8">
        <w:t>).</w:t>
      </w:r>
    </w:p>
    <w:p w14:paraId="4EC3D656" w14:textId="77777777" w:rsidR="00897531" w:rsidRPr="00B945F8" w:rsidRDefault="00897531" w:rsidP="007F28A8">
      <w:pPr>
        <w:shd w:val="clear" w:color="auto" w:fill="FFFFFF"/>
        <w:spacing w:before="0" w:line="240" w:lineRule="auto"/>
        <w:jc w:val="both"/>
      </w:pPr>
    </w:p>
    <w:p w14:paraId="0CBF6CB4" w14:textId="3E245742" w:rsidR="00E235E4" w:rsidRPr="00B945F8" w:rsidRDefault="007C3F63" w:rsidP="007F28A8">
      <w:pPr>
        <w:shd w:val="clear" w:color="auto" w:fill="FFFFFF"/>
        <w:spacing w:before="0" w:line="240" w:lineRule="auto"/>
        <w:jc w:val="both"/>
        <w:rPr>
          <w:rFonts w:eastAsia="Times New Roman"/>
        </w:rPr>
      </w:pPr>
      <w:r w:rsidRPr="00B945F8">
        <w:rPr>
          <w:rFonts w:eastAsia="Times New Roman"/>
        </w:rPr>
        <w:tab/>
      </w:r>
      <w:r w:rsidR="00A61C85" w:rsidRPr="00B945F8">
        <w:rPr>
          <w:rFonts w:eastAsia="Times New Roman"/>
          <w:b/>
          <w:bCs/>
        </w:rPr>
        <w:t>Subdivision (2)</w:t>
      </w:r>
      <w:r w:rsidR="004C44D4" w:rsidRPr="00B945F8">
        <w:rPr>
          <w:rFonts w:eastAsia="Times New Roman"/>
          <w:b/>
          <w:bCs/>
        </w:rPr>
        <w:t>.</w:t>
      </w:r>
      <w:r w:rsidR="004C44D4" w:rsidRPr="00B945F8">
        <w:rPr>
          <w:rFonts w:eastAsia="Times New Roman"/>
        </w:rPr>
        <w:t xml:space="preserve"> </w:t>
      </w:r>
      <w:bookmarkStart w:id="7" w:name="_Hlk110781101"/>
      <w:r w:rsidR="00ED0D65" w:rsidRPr="00B945F8">
        <w:rPr>
          <w:rFonts w:eastAsia="Times New Roman"/>
        </w:rPr>
        <w:t>As noted, e</w:t>
      </w:r>
      <w:r w:rsidRPr="00B945F8">
        <w:rPr>
          <w:rFonts w:eastAsia="Times New Roman"/>
        </w:rPr>
        <w:t xml:space="preserve">vidence of gang membership </w:t>
      </w:r>
      <w:r w:rsidR="00ED0D65" w:rsidRPr="00B945F8">
        <w:rPr>
          <w:rFonts w:eastAsia="Times New Roman"/>
        </w:rPr>
        <w:t>may</w:t>
      </w:r>
      <w:r w:rsidR="00965EE8" w:rsidRPr="00B945F8">
        <w:rPr>
          <w:rFonts w:eastAsia="Times New Roman"/>
        </w:rPr>
        <w:t xml:space="preserve"> </w:t>
      </w:r>
      <w:r w:rsidR="00ED0D65" w:rsidRPr="00B945F8">
        <w:rPr>
          <w:rFonts w:eastAsia="Times New Roman"/>
        </w:rPr>
        <w:t>involve</w:t>
      </w:r>
      <w:r w:rsidR="00965EE8" w:rsidRPr="00B945F8">
        <w:rPr>
          <w:rFonts w:eastAsia="Times New Roman"/>
        </w:rPr>
        <w:t xml:space="preserve"> </w:t>
      </w:r>
      <w:r w:rsidR="003A4751" w:rsidRPr="00B945F8">
        <w:rPr>
          <w:rFonts w:eastAsia="Times New Roman"/>
        </w:rPr>
        <w:t xml:space="preserve">the </w:t>
      </w:r>
      <w:r w:rsidR="004C44D4" w:rsidRPr="00B945F8">
        <w:rPr>
          <w:rFonts w:eastAsia="Times New Roman"/>
        </w:rPr>
        <w:t xml:space="preserve">revelation directly or indirectly </w:t>
      </w:r>
      <w:r w:rsidR="00E354AF" w:rsidRPr="00B945F8">
        <w:rPr>
          <w:rFonts w:eastAsia="Times New Roman"/>
        </w:rPr>
        <w:t xml:space="preserve">of the </w:t>
      </w:r>
      <w:r w:rsidR="003A4751" w:rsidRPr="00B945F8">
        <w:rPr>
          <w:rFonts w:eastAsia="Times New Roman"/>
        </w:rPr>
        <w:t>commission of crimes</w:t>
      </w:r>
      <w:r w:rsidR="00A61C85" w:rsidRPr="00B945F8">
        <w:rPr>
          <w:rFonts w:eastAsia="Times New Roman"/>
          <w:b/>
          <w:bCs/>
        </w:rPr>
        <w:t xml:space="preserve"> </w:t>
      </w:r>
      <w:r w:rsidR="003A4751" w:rsidRPr="00B945F8">
        <w:rPr>
          <w:rFonts w:eastAsia="Times New Roman"/>
        </w:rPr>
        <w:t>or bad acts</w:t>
      </w:r>
      <w:r w:rsidR="00FC5FCE" w:rsidRPr="00B945F8">
        <w:rPr>
          <w:rFonts w:eastAsia="Times New Roman"/>
        </w:rPr>
        <w:t>,</w:t>
      </w:r>
      <w:r w:rsidR="003A4751" w:rsidRPr="00B945F8">
        <w:rPr>
          <w:rFonts w:eastAsia="Times New Roman"/>
        </w:rPr>
        <w:t xml:space="preserve"> </w:t>
      </w:r>
      <w:r w:rsidR="00E354AF" w:rsidRPr="00B945F8">
        <w:rPr>
          <w:rFonts w:eastAsia="Times New Roman"/>
        </w:rPr>
        <w:t xml:space="preserve">and </w:t>
      </w:r>
      <w:bookmarkEnd w:id="7"/>
      <w:r w:rsidR="00FC5FCE" w:rsidRPr="00B945F8">
        <w:rPr>
          <w:rFonts w:eastAsia="Times New Roman"/>
        </w:rPr>
        <w:t xml:space="preserve">a </w:t>
      </w:r>
      <w:r w:rsidR="00C4212E" w:rsidRPr="00B945F8">
        <w:rPr>
          <w:rFonts w:eastAsia="Times New Roman"/>
        </w:rPr>
        <w:t xml:space="preserve">court must therefore </w:t>
      </w:r>
      <w:r w:rsidR="005D6D00" w:rsidRPr="00B945F8">
        <w:rPr>
          <w:rFonts w:eastAsia="Times New Roman"/>
        </w:rPr>
        <w:t xml:space="preserve">by its instructions to a jury </w:t>
      </w:r>
      <w:r w:rsidR="00C4212E" w:rsidRPr="00B945F8">
        <w:rPr>
          <w:rFonts w:eastAsia="Times New Roman"/>
        </w:rPr>
        <w:t xml:space="preserve">guard against the </w:t>
      </w:r>
      <w:r w:rsidR="00F3622E" w:rsidRPr="00B945F8">
        <w:rPr>
          <w:rFonts w:eastAsia="Times New Roman"/>
        </w:rPr>
        <w:t xml:space="preserve">jury utilizing the evidence to prove </w:t>
      </w:r>
      <w:r w:rsidR="00FE4A7A" w:rsidRPr="00B945F8">
        <w:rPr>
          <w:rFonts w:eastAsia="Times New Roman"/>
        </w:rPr>
        <w:t xml:space="preserve">a </w:t>
      </w:r>
      <w:r w:rsidR="00F3622E" w:rsidRPr="00B945F8">
        <w:rPr>
          <w:rFonts w:eastAsia="Times New Roman"/>
        </w:rPr>
        <w:t xml:space="preserve">defendant’s criminal propensity </w:t>
      </w:r>
      <w:r w:rsidR="00897531" w:rsidRPr="00B945F8">
        <w:rPr>
          <w:rFonts w:eastAsia="Times New Roman"/>
        </w:rPr>
        <w:t>(</w:t>
      </w:r>
      <w:r w:rsidR="00FC5FCE" w:rsidRPr="00B945F8">
        <w:rPr>
          <w:rFonts w:eastAsia="Times New Roman"/>
          <w:i/>
          <w:iCs/>
        </w:rPr>
        <w:t>Bailey</w:t>
      </w:r>
      <w:r w:rsidR="00FD3FE5" w:rsidRPr="00B945F8">
        <w:rPr>
          <w:rFonts w:eastAsia="Times New Roman"/>
        </w:rPr>
        <w:t>,</w:t>
      </w:r>
      <w:r w:rsidR="00FC5FCE" w:rsidRPr="00B945F8">
        <w:rPr>
          <w:rFonts w:eastAsia="Times New Roman"/>
        </w:rPr>
        <w:t xml:space="preserve"> </w:t>
      </w:r>
      <w:r w:rsidR="00FD3FE5" w:rsidRPr="00B945F8">
        <w:rPr>
          <w:rFonts w:eastAsia="Times New Roman"/>
        </w:rPr>
        <w:t xml:space="preserve">32 NY3d </w:t>
      </w:r>
      <w:r w:rsidR="00FC5FCE" w:rsidRPr="00B945F8">
        <w:rPr>
          <w:rFonts w:eastAsia="Times New Roman"/>
        </w:rPr>
        <w:t>at 83</w:t>
      </w:r>
      <w:r w:rsidR="00897531" w:rsidRPr="00B945F8">
        <w:rPr>
          <w:rFonts w:eastAsia="Times New Roman"/>
        </w:rPr>
        <w:t>)</w:t>
      </w:r>
      <w:r w:rsidR="00FC5FCE" w:rsidRPr="00B945F8">
        <w:rPr>
          <w:rFonts w:eastAsia="Times New Roman"/>
        </w:rPr>
        <w:t>.</w:t>
      </w:r>
    </w:p>
    <w:p w14:paraId="1334640F" w14:textId="77777777" w:rsidR="00306EA2" w:rsidRPr="00B945F8" w:rsidRDefault="00306EA2" w:rsidP="007F28A8">
      <w:pPr>
        <w:shd w:val="clear" w:color="auto" w:fill="FFFFFF"/>
        <w:spacing w:before="0" w:line="240" w:lineRule="auto"/>
        <w:jc w:val="both"/>
        <w:rPr>
          <w:rFonts w:eastAsia="Times New Roman"/>
        </w:rPr>
      </w:pPr>
    </w:p>
    <w:p w14:paraId="40022F84" w14:textId="4D0ACCB8" w:rsidR="00B57F45" w:rsidRPr="00B945F8" w:rsidRDefault="00306EA2" w:rsidP="00306EA2">
      <w:pPr>
        <w:tabs>
          <w:tab w:val="left" w:pos="720"/>
        </w:tabs>
        <w:spacing w:before="0" w:line="240" w:lineRule="auto"/>
        <w:jc w:val="both"/>
        <w:rPr>
          <w:rFonts w:eastAsia="Times New Roman"/>
        </w:rPr>
      </w:pPr>
      <w:r w:rsidRPr="00B945F8">
        <w:rPr>
          <w:rFonts w:eastAsia="Times New Roman"/>
        </w:rPr>
        <w:tab/>
      </w:r>
      <w:r w:rsidR="003F16B7" w:rsidRPr="00B945F8">
        <w:rPr>
          <w:rFonts w:eastAsia="Times New Roman"/>
        </w:rPr>
        <w:t xml:space="preserve">In </w:t>
      </w:r>
      <w:r w:rsidR="003F16B7" w:rsidRPr="00B945F8">
        <w:rPr>
          <w:rFonts w:eastAsia="Times New Roman"/>
          <w:i/>
          <w:iCs/>
        </w:rPr>
        <w:t>Bailey</w:t>
      </w:r>
      <w:r w:rsidR="003F16B7" w:rsidRPr="00B945F8">
        <w:rPr>
          <w:rFonts w:eastAsia="Times New Roman"/>
        </w:rPr>
        <w:t xml:space="preserve">, </w:t>
      </w:r>
      <w:r w:rsidR="004615DE" w:rsidRPr="00B945F8">
        <w:rPr>
          <w:rFonts w:eastAsia="Times New Roman"/>
        </w:rPr>
        <w:t xml:space="preserve">for example, </w:t>
      </w:r>
      <w:r w:rsidR="003F16B7" w:rsidRPr="00B945F8">
        <w:rPr>
          <w:rFonts w:eastAsia="Times New Roman"/>
        </w:rPr>
        <w:t>after find</w:t>
      </w:r>
      <w:r w:rsidR="00F124FA" w:rsidRPr="00B945F8">
        <w:rPr>
          <w:rFonts w:eastAsia="Times New Roman"/>
        </w:rPr>
        <w:t>ing</w:t>
      </w:r>
      <w:r w:rsidR="003F16B7" w:rsidRPr="00B945F8">
        <w:rPr>
          <w:rFonts w:eastAsia="Times New Roman"/>
        </w:rPr>
        <w:t xml:space="preserve"> the gang activity evidence admissible, the Court </w:t>
      </w:r>
      <w:r w:rsidR="004615DE" w:rsidRPr="00B945F8">
        <w:rPr>
          <w:rFonts w:eastAsia="Times New Roman"/>
        </w:rPr>
        <w:t xml:space="preserve">of Appeals </w:t>
      </w:r>
      <w:r w:rsidR="003F16B7" w:rsidRPr="00B945F8">
        <w:rPr>
          <w:rFonts w:eastAsia="Times New Roman"/>
        </w:rPr>
        <w:t>concluded: “Regardless, because the court</w:t>
      </w:r>
      <w:r w:rsidR="0033177B" w:rsidRPr="00B945F8">
        <w:rPr>
          <w:rFonts w:eastAsia="Times New Roman"/>
        </w:rPr>
        <w:t>’</w:t>
      </w:r>
      <w:r w:rsidR="003F16B7" w:rsidRPr="00B945F8">
        <w:rPr>
          <w:rFonts w:eastAsia="Times New Roman"/>
        </w:rPr>
        <w:t>s instructions addressed any possible prejudice to defendant, we cannot say the court</w:t>
      </w:r>
      <w:r w:rsidR="0033177B" w:rsidRPr="00B945F8">
        <w:rPr>
          <w:rFonts w:eastAsia="Times New Roman"/>
        </w:rPr>
        <w:t>’</w:t>
      </w:r>
      <w:r w:rsidR="003F16B7" w:rsidRPr="00B945F8">
        <w:rPr>
          <w:rFonts w:eastAsia="Times New Roman"/>
        </w:rPr>
        <w:t>s ruling was error” (</w:t>
      </w:r>
      <w:r w:rsidR="003F16B7" w:rsidRPr="00B945F8">
        <w:rPr>
          <w:rFonts w:eastAsia="Times New Roman"/>
          <w:i/>
          <w:iCs/>
        </w:rPr>
        <w:t>Bailey</w:t>
      </w:r>
      <w:r w:rsidR="004615DE" w:rsidRPr="00B945F8">
        <w:rPr>
          <w:rFonts w:eastAsia="Times New Roman"/>
        </w:rPr>
        <w:t xml:space="preserve">, 32 NY3d </w:t>
      </w:r>
      <w:r w:rsidR="003F16B7" w:rsidRPr="00B945F8">
        <w:rPr>
          <w:rFonts w:eastAsia="Times New Roman"/>
        </w:rPr>
        <w:t>at 83-84).</w:t>
      </w:r>
      <w:r w:rsidR="00897531" w:rsidRPr="00B945F8">
        <w:rPr>
          <w:rFonts w:eastAsia="Times New Roman"/>
        </w:rPr>
        <w:t xml:space="preserve"> </w:t>
      </w:r>
      <w:r w:rsidR="003F16B7" w:rsidRPr="00B945F8">
        <w:rPr>
          <w:rFonts w:eastAsia="Times New Roman"/>
        </w:rPr>
        <w:t>The trial court instruction</w:t>
      </w:r>
      <w:r w:rsidR="00837038" w:rsidRPr="00B945F8">
        <w:rPr>
          <w:rFonts w:eastAsia="Times New Roman"/>
        </w:rPr>
        <w:t xml:space="preserve"> </w:t>
      </w:r>
      <w:r w:rsidR="00D457CC" w:rsidRPr="00B945F8">
        <w:rPr>
          <w:rFonts w:eastAsia="Times New Roman"/>
        </w:rPr>
        <w:t xml:space="preserve">recited in </w:t>
      </w:r>
      <w:r w:rsidR="00D457CC" w:rsidRPr="00B945F8">
        <w:rPr>
          <w:rFonts w:eastAsia="Times New Roman"/>
          <w:i/>
          <w:iCs/>
        </w:rPr>
        <w:t xml:space="preserve">Bailey </w:t>
      </w:r>
      <w:r w:rsidR="00D457CC" w:rsidRPr="00B945F8">
        <w:rPr>
          <w:rFonts w:eastAsia="Times New Roman"/>
        </w:rPr>
        <w:t xml:space="preserve">at </w:t>
      </w:r>
      <w:r w:rsidR="00E0218D" w:rsidRPr="00B945F8">
        <w:rPr>
          <w:rFonts w:eastAsia="Times New Roman"/>
        </w:rPr>
        <w:t xml:space="preserve">76-77 </w:t>
      </w:r>
      <w:r w:rsidR="000247BE" w:rsidRPr="00B945F8">
        <w:rPr>
          <w:rFonts w:eastAsia="Times New Roman"/>
        </w:rPr>
        <w:t>adapted the jury instruction set forth in CJI</w:t>
      </w:r>
      <w:r w:rsidR="00C65186" w:rsidRPr="00B945F8">
        <w:rPr>
          <w:rFonts w:eastAsia="Times New Roman"/>
        </w:rPr>
        <w:t>2d</w:t>
      </w:r>
      <w:r w:rsidR="00B61238" w:rsidRPr="00B945F8">
        <w:rPr>
          <w:rFonts w:eastAsia="Times New Roman"/>
        </w:rPr>
        <w:t>(</w:t>
      </w:r>
      <w:r w:rsidR="00C65186" w:rsidRPr="00B945F8">
        <w:rPr>
          <w:rFonts w:eastAsia="Times New Roman"/>
        </w:rPr>
        <w:t>NY</w:t>
      </w:r>
      <w:r w:rsidR="00B61238" w:rsidRPr="00B945F8">
        <w:rPr>
          <w:rFonts w:eastAsia="Times New Roman"/>
        </w:rPr>
        <w:t>)</w:t>
      </w:r>
      <w:r w:rsidR="00602699" w:rsidRPr="00B945F8">
        <w:rPr>
          <w:rFonts w:eastAsia="Times New Roman"/>
        </w:rPr>
        <w:t>,</w:t>
      </w:r>
      <w:r w:rsidR="00897531" w:rsidRPr="00B945F8">
        <w:rPr>
          <w:rFonts w:eastAsia="Times New Roman"/>
        </w:rPr>
        <w:t xml:space="preserve"> </w:t>
      </w:r>
      <w:r w:rsidR="00602699" w:rsidRPr="00B945F8">
        <w:rPr>
          <w:rFonts w:eastAsia="Times New Roman"/>
        </w:rPr>
        <w:t xml:space="preserve">General Applicability, </w:t>
      </w:r>
      <w:r w:rsidR="007E0FC4" w:rsidRPr="00B945F8">
        <w:rPr>
          <w:rFonts w:eastAsia="Times New Roman"/>
          <w:i/>
          <w:iCs/>
        </w:rPr>
        <w:t>Molineux</w:t>
      </w:r>
      <w:r w:rsidR="007E0FC4" w:rsidRPr="00B945F8">
        <w:rPr>
          <w:rFonts w:eastAsia="Times New Roman"/>
        </w:rPr>
        <w:t>.</w:t>
      </w:r>
      <w:r w:rsidR="00013DDB" w:rsidRPr="00B945F8">
        <w:rPr>
          <w:rFonts w:eastAsia="Times New Roman"/>
        </w:rPr>
        <w:t xml:space="preserve"> </w:t>
      </w:r>
      <w:r w:rsidR="007C5852" w:rsidRPr="00B945F8">
        <w:rPr>
          <w:rFonts w:eastAsia="Times New Roman"/>
        </w:rPr>
        <w:t>(</w:t>
      </w:r>
      <w:r w:rsidR="00013DDB" w:rsidRPr="00B945F8">
        <w:rPr>
          <w:rFonts w:eastAsia="Times New Roman"/>
          <w:i/>
          <w:iCs/>
        </w:rPr>
        <w:t>See</w:t>
      </w:r>
      <w:r w:rsidR="00013DDB" w:rsidRPr="00B945F8">
        <w:rPr>
          <w:rFonts w:eastAsia="Times New Roman"/>
        </w:rPr>
        <w:t xml:space="preserve"> </w:t>
      </w:r>
      <w:r w:rsidR="00AF6B8A" w:rsidRPr="00B945F8">
        <w:rPr>
          <w:rFonts w:eastAsia="Times New Roman"/>
          <w:i/>
          <w:iCs/>
        </w:rPr>
        <w:t>Benjamin</w:t>
      </w:r>
      <w:r w:rsidR="00AF6B8A" w:rsidRPr="00B945F8">
        <w:rPr>
          <w:rFonts w:eastAsia="Times New Roman"/>
        </w:rPr>
        <w:t xml:space="preserve">, </w:t>
      </w:r>
      <w:r w:rsidR="00C07449" w:rsidRPr="00B945F8">
        <w:rPr>
          <w:rFonts w:eastAsia="Times New Roman"/>
        </w:rPr>
        <w:t xml:space="preserve">203 AD3d </w:t>
      </w:r>
      <w:r w:rsidR="00AF6B8A" w:rsidRPr="00B945F8">
        <w:rPr>
          <w:rFonts w:eastAsia="Times New Roman"/>
        </w:rPr>
        <w:t>at 617 [“</w:t>
      </w:r>
      <w:r w:rsidR="00013DDB" w:rsidRPr="00B945F8">
        <w:rPr>
          <w:rFonts w:eastAsia="Times New Roman"/>
        </w:rPr>
        <w:t>The probative value of defendant</w:t>
      </w:r>
      <w:r w:rsidR="0033177B" w:rsidRPr="00B945F8">
        <w:rPr>
          <w:rFonts w:eastAsia="Times New Roman"/>
        </w:rPr>
        <w:t>’</w:t>
      </w:r>
      <w:r w:rsidR="00013DDB" w:rsidRPr="00B945F8">
        <w:rPr>
          <w:rFonts w:eastAsia="Times New Roman"/>
        </w:rPr>
        <w:t>s gang affiliation outweighed any prejudice, which was minimized by the court</w:t>
      </w:r>
      <w:r w:rsidR="0033177B" w:rsidRPr="00B945F8">
        <w:rPr>
          <w:rFonts w:eastAsia="Times New Roman"/>
        </w:rPr>
        <w:t>’</w:t>
      </w:r>
      <w:r w:rsidR="00013DDB" w:rsidRPr="00B945F8">
        <w:rPr>
          <w:rFonts w:eastAsia="Times New Roman"/>
        </w:rPr>
        <w:t>s limiting instructions”</w:t>
      </w:r>
      <w:r w:rsidR="00AF6B8A" w:rsidRPr="00B945F8">
        <w:rPr>
          <w:rFonts w:eastAsia="Times New Roman"/>
        </w:rPr>
        <w:t>]</w:t>
      </w:r>
      <w:r w:rsidR="00F124FA" w:rsidRPr="00B945F8">
        <w:rPr>
          <w:rFonts w:eastAsia="Times New Roman"/>
        </w:rPr>
        <w:t xml:space="preserve">; </w:t>
      </w:r>
      <w:r w:rsidR="00C6585A" w:rsidRPr="00B945F8">
        <w:rPr>
          <w:rFonts w:eastAsia="Times New Roman"/>
          <w:i/>
          <w:iCs/>
        </w:rPr>
        <w:t>People v Johnson</w:t>
      </w:r>
      <w:r w:rsidR="00C6585A" w:rsidRPr="00B945F8">
        <w:rPr>
          <w:rFonts w:eastAsia="Times New Roman"/>
        </w:rPr>
        <w:t>, 106 AD3d 1272, 1274 [3d Dept 2013]</w:t>
      </w:r>
      <w:r w:rsidR="00F124FA" w:rsidRPr="00B945F8">
        <w:rPr>
          <w:rFonts w:eastAsia="Times New Roman"/>
        </w:rPr>
        <w:t xml:space="preserve"> [</w:t>
      </w:r>
      <w:r w:rsidR="00C6585A" w:rsidRPr="00B945F8">
        <w:rPr>
          <w:rFonts w:eastAsia="Times New Roman"/>
        </w:rPr>
        <w:t>the trial</w:t>
      </w:r>
      <w:r w:rsidR="00897531" w:rsidRPr="00B945F8">
        <w:rPr>
          <w:rFonts w:eastAsia="Times New Roman"/>
        </w:rPr>
        <w:t xml:space="preserve"> court “</w:t>
      </w:r>
      <w:r w:rsidR="00C6585A" w:rsidRPr="00B945F8">
        <w:rPr>
          <w:rFonts w:eastAsia="Times New Roman"/>
        </w:rPr>
        <w:t xml:space="preserve">properly balanced the probative value of </w:t>
      </w:r>
      <w:r w:rsidR="00897531" w:rsidRPr="00B945F8">
        <w:rPr>
          <w:rFonts w:eastAsia="Times New Roman"/>
        </w:rPr>
        <w:t>(</w:t>
      </w:r>
      <w:r w:rsidR="007C757E" w:rsidRPr="00B945F8">
        <w:rPr>
          <w:rFonts w:eastAsia="Times New Roman"/>
        </w:rPr>
        <w:t>defendant’s g</w:t>
      </w:r>
      <w:r w:rsidR="000A5C14" w:rsidRPr="00B945F8">
        <w:rPr>
          <w:rFonts w:eastAsia="Times New Roman"/>
        </w:rPr>
        <w:t>ang membership</w:t>
      </w:r>
      <w:r w:rsidR="00897531" w:rsidRPr="00B945F8">
        <w:rPr>
          <w:rFonts w:eastAsia="Times New Roman"/>
        </w:rPr>
        <w:t xml:space="preserve">) </w:t>
      </w:r>
      <w:r w:rsidR="00C6585A" w:rsidRPr="00B945F8">
        <w:rPr>
          <w:rFonts w:eastAsia="Times New Roman"/>
        </w:rPr>
        <w:t>evidence against its prejudicial effect and gave appropriate limiting instructions</w:t>
      </w:r>
      <w:r w:rsidR="007C5852" w:rsidRPr="00B945F8">
        <w:rPr>
          <w:rFonts w:eastAsia="Times New Roman"/>
        </w:rPr>
        <w:t>”]</w:t>
      </w:r>
      <w:r w:rsidR="00897531" w:rsidRPr="00B945F8">
        <w:rPr>
          <w:rFonts w:eastAsia="Times New Roman"/>
        </w:rPr>
        <w:t>.</w:t>
      </w:r>
      <w:r w:rsidR="007C5852" w:rsidRPr="00B945F8">
        <w:rPr>
          <w:rFonts w:eastAsia="Times New Roman"/>
        </w:rPr>
        <w:t>)</w:t>
      </w:r>
    </w:p>
    <w:sectPr w:rsidR="00B57F45" w:rsidRPr="00B945F8" w:rsidSect="007F28A8">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49AA" w14:textId="77777777" w:rsidR="00AB58A5" w:rsidRDefault="00AB58A5" w:rsidP="00290D8B">
      <w:pPr>
        <w:spacing w:before="0" w:line="240" w:lineRule="auto"/>
      </w:pPr>
      <w:r>
        <w:separator/>
      </w:r>
    </w:p>
  </w:endnote>
  <w:endnote w:type="continuationSeparator" w:id="0">
    <w:p w14:paraId="27D382F4" w14:textId="77777777" w:rsidR="00AB58A5" w:rsidRDefault="00AB58A5" w:rsidP="00290D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912675"/>
      <w:docPartObj>
        <w:docPartGallery w:val="Page Numbers (Bottom of Page)"/>
        <w:docPartUnique/>
      </w:docPartObj>
    </w:sdtPr>
    <w:sdtEndPr>
      <w:rPr>
        <w:noProof/>
      </w:rPr>
    </w:sdtEndPr>
    <w:sdtContent>
      <w:p w14:paraId="34541EC0" w14:textId="389AC8B3" w:rsidR="00306EA2" w:rsidRDefault="00306E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85A4" w14:textId="77777777" w:rsidR="00AB58A5" w:rsidRDefault="00AB58A5" w:rsidP="00290D8B">
      <w:pPr>
        <w:spacing w:before="0" w:line="240" w:lineRule="auto"/>
      </w:pPr>
      <w:r>
        <w:separator/>
      </w:r>
    </w:p>
  </w:footnote>
  <w:footnote w:type="continuationSeparator" w:id="0">
    <w:p w14:paraId="281EDB94" w14:textId="77777777" w:rsidR="00AB58A5" w:rsidRDefault="00AB58A5" w:rsidP="00290D8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4255A"/>
    <w:multiLevelType w:val="hybridMultilevel"/>
    <w:tmpl w:val="6A36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9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EysjQ3MLc0MTY1NjdW0lEKTi0uzszPAykwrQUAXwPaqSwAAAA="/>
  </w:docVars>
  <w:rsids>
    <w:rsidRoot w:val="00A87A3D"/>
    <w:rsid w:val="000022E8"/>
    <w:rsid w:val="00003C8C"/>
    <w:rsid w:val="00003FDE"/>
    <w:rsid w:val="00013DDB"/>
    <w:rsid w:val="000247BE"/>
    <w:rsid w:val="000317A1"/>
    <w:rsid w:val="00034D09"/>
    <w:rsid w:val="00040473"/>
    <w:rsid w:val="00042FE7"/>
    <w:rsid w:val="00044562"/>
    <w:rsid w:val="00047A35"/>
    <w:rsid w:val="00057C12"/>
    <w:rsid w:val="00064533"/>
    <w:rsid w:val="00067047"/>
    <w:rsid w:val="000721FB"/>
    <w:rsid w:val="000751BE"/>
    <w:rsid w:val="00080814"/>
    <w:rsid w:val="000841D2"/>
    <w:rsid w:val="0008710D"/>
    <w:rsid w:val="00090F4A"/>
    <w:rsid w:val="000924A3"/>
    <w:rsid w:val="00092F8C"/>
    <w:rsid w:val="000A3F28"/>
    <w:rsid w:val="000A5C14"/>
    <w:rsid w:val="000B1A0B"/>
    <w:rsid w:val="000B449B"/>
    <w:rsid w:val="000B6495"/>
    <w:rsid w:val="000C40D3"/>
    <w:rsid w:val="000C6FC5"/>
    <w:rsid w:val="000D1E54"/>
    <w:rsid w:val="000D70E8"/>
    <w:rsid w:val="000E1D96"/>
    <w:rsid w:val="000E3FAE"/>
    <w:rsid w:val="000F082B"/>
    <w:rsid w:val="000F2FD1"/>
    <w:rsid w:val="000F30AD"/>
    <w:rsid w:val="0010049A"/>
    <w:rsid w:val="0010385E"/>
    <w:rsid w:val="001055D7"/>
    <w:rsid w:val="00106192"/>
    <w:rsid w:val="0011304A"/>
    <w:rsid w:val="00121EBC"/>
    <w:rsid w:val="00124BCA"/>
    <w:rsid w:val="00131C72"/>
    <w:rsid w:val="00137C0B"/>
    <w:rsid w:val="00137FCE"/>
    <w:rsid w:val="001403E7"/>
    <w:rsid w:val="00141E89"/>
    <w:rsid w:val="00145E5C"/>
    <w:rsid w:val="001535F5"/>
    <w:rsid w:val="00156934"/>
    <w:rsid w:val="00157ABA"/>
    <w:rsid w:val="0016385E"/>
    <w:rsid w:val="00172507"/>
    <w:rsid w:val="00172C2E"/>
    <w:rsid w:val="00172FB6"/>
    <w:rsid w:val="00177623"/>
    <w:rsid w:val="001876E2"/>
    <w:rsid w:val="001A4C9B"/>
    <w:rsid w:val="001B7E0A"/>
    <w:rsid w:val="001C264A"/>
    <w:rsid w:val="001C264F"/>
    <w:rsid w:val="001E00ED"/>
    <w:rsid w:val="00203615"/>
    <w:rsid w:val="00211A8E"/>
    <w:rsid w:val="00220FB7"/>
    <w:rsid w:val="00221020"/>
    <w:rsid w:val="00242F72"/>
    <w:rsid w:val="00245AB7"/>
    <w:rsid w:val="0024665D"/>
    <w:rsid w:val="00246D54"/>
    <w:rsid w:val="002521DF"/>
    <w:rsid w:val="00254815"/>
    <w:rsid w:val="0025713D"/>
    <w:rsid w:val="00264E8D"/>
    <w:rsid w:val="002671A0"/>
    <w:rsid w:val="00271926"/>
    <w:rsid w:val="00274F62"/>
    <w:rsid w:val="00283452"/>
    <w:rsid w:val="00287614"/>
    <w:rsid w:val="00290D8B"/>
    <w:rsid w:val="002924DE"/>
    <w:rsid w:val="002938D2"/>
    <w:rsid w:val="00295297"/>
    <w:rsid w:val="002A448F"/>
    <w:rsid w:val="002B486B"/>
    <w:rsid w:val="002B4A6F"/>
    <w:rsid w:val="002C0DA6"/>
    <w:rsid w:val="002C3D93"/>
    <w:rsid w:val="002C3E7F"/>
    <w:rsid w:val="002C433C"/>
    <w:rsid w:val="002C58A0"/>
    <w:rsid w:val="002C6535"/>
    <w:rsid w:val="002D5EB7"/>
    <w:rsid w:val="002D73EC"/>
    <w:rsid w:val="002E1F20"/>
    <w:rsid w:val="002E3724"/>
    <w:rsid w:val="002F58AA"/>
    <w:rsid w:val="003035A9"/>
    <w:rsid w:val="00306EA2"/>
    <w:rsid w:val="003108F2"/>
    <w:rsid w:val="00311C4A"/>
    <w:rsid w:val="00312EC6"/>
    <w:rsid w:val="0032071D"/>
    <w:rsid w:val="00323F8D"/>
    <w:rsid w:val="0033177B"/>
    <w:rsid w:val="00337EE7"/>
    <w:rsid w:val="00340F32"/>
    <w:rsid w:val="00341E2C"/>
    <w:rsid w:val="00342B9F"/>
    <w:rsid w:val="00344C2C"/>
    <w:rsid w:val="00347A75"/>
    <w:rsid w:val="00356E98"/>
    <w:rsid w:val="00361487"/>
    <w:rsid w:val="00363E42"/>
    <w:rsid w:val="00364C80"/>
    <w:rsid w:val="00371C68"/>
    <w:rsid w:val="003865E4"/>
    <w:rsid w:val="0038763D"/>
    <w:rsid w:val="00397E0F"/>
    <w:rsid w:val="003A4751"/>
    <w:rsid w:val="003A7DCF"/>
    <w:rsid w:val="003B6046"/>
    <w:rsid w:val="003B792B"/>
    <w:rsid w:val="003C2AD3"/>
    <w:rsid w:val="003C5269"/>
    <w:rsid w:val="003D0C95"/>
    <w:rsid w:val="003D533D"/>
    <w:rsid w:val="003D60A6"/>
    <w:rsid w:val="003D6D7C"/>
    <w:rsid w:val="003E2232"/>
    <w:rsid w:val="003F0D04"/>
    <w:rsid w:val="003F16B7"/>
    <w:rsid w:val="003F2699"/>
    <w:rsid w:val="004107AA"/>
    <w:rsid w:val="0041682B"/>
    <w:rsid w:val="0042164B"/>
    <w:rsid w:val="004331E7"/>
    <w:rsid w:val="00435748"/>
    <w:rsid w:val="004420DA"/>
    <w:rsid w:val="00444804"/>
    <w:rsid w:val="00450E50"/>
    <w:rsid w:val="00452FE0"/>
    <w:rsid w:val="00455CCE"/>
    <w:rsid w:val="00457A8A"/>
    <w:rsid w:val="00460B0D"/>
    <w:rsid w:val="004615DE"/>
    <w:rsid w:val="00463E80"/>
    <w:rsid w:val="00465F90"/>
    <w:rsid w:val="00471483"/>
    <w:rsid w:val="004856D5"/>
    <w:rsid w:val="00491535"/>
    <w:rsid w:val="0049157D"/>
    <w:rsid w:val="004936E4"/>
    <w:rsid w:val="004B2A43"/>
    <w:rsid w:val="004B4233"/>
    <w:rsid w:val="004B5C0E"/>
    <w:rsid w:val="004C44D4"/>
    <w:rsid w:val="004C5F8E"/>
    <w:rsid w:val="004D175C"/>
    <w:rsid w:val="004D3BDB"/>
    <w:rsid w:val="00505777"/>
    <w:rsid w:val="00511CB9"/>
    <w:rsid w:val="005162D9"/>
    <w:rsid w:val="005202BD"/>
    <w:rsid w:val="00523A9A"/>
    <w:rsid w:val="00534902"/>
    <w:rsid w:val="0054536F"/>
    <w:rsid w:val="0054756A"/>
    <w:rsid w:val="00550BFE"/>
    <w:rsid w:val="00553377"/>
    <w:rsid w:val="0055475F"/>
    <w:rsid w:val="005609BC"/>
    <w:rsid w:val="00566008"/>
    <w:rsid w:val="00583B26"/>
    <w:rsid w:val="0058420E"/>
    <w:rsid w:val="005969B8"/>
    <w:rsid w:val="005B0BB3"/>
    <w:rsid w:val="005C09C9"/>
    <w:rsid w:val="005C2035"/>
    <w:rsid w:val="005D44C8"/>
    <w:rsid w:val="005D680A"/>
    <w:rsid w:val="005D6D00"/>
    <w:rsid w:val="005E4E90"/>
    <w:rsid w:val="005F3650"/>
    <w:rsid w:val="005F3D3D"/>
    <w:rsid w:val="006011EE"/>
    <w:rsid w:val="00602699"/>
    <w:rsid w:val="0060302B"/>
    <w:rsid w:val="00603E5C"/>
    <w:rsid w:val="00606A1C"/>
    <w:rsid w:val="0062260E"/>
    <w:rsid w:val="006279D4"/>
    <w:rsid w:val="00631F37"/>
    <w:rsid w:val="0064119D"/>
    <w:rsid w:val="006411FD"/>
    <w:rsid w:val="0064277B"/>
    <w:rsid w:val="00643D75"/>
    <w:rsid w:val="0064449E"/>
    <w:rsid w:val="0064531A"/>
    <w:rsid w:val="006466B8"/>
    <w:rsid w:val="00647791"/>
    <w:rsid w:val="0065692B"/>
    <w:rsid w:val="00660E8E"/>
    <w:rsid w:val="00666535"/>
    <w:rsid w:val="00666896"/>
    <w:rsid w:val="00670B3D"/>
    <w:rsid w:val="0067143A"/>
    <w:rsid w:val="006736BA"/>
    <w:rsid w:val="006749AC"/>
    <w:rsid w:val="006779CD"/>
    <w:rsid w:val="00683D00"/>
    <w:rsid w:val="006856A7"/>
    <w:rsid w:val="006B1F33"/>
    <w:rsid w:val="006B62C7"/>
    <w:rsid w:val="006C0D2C"/>
    <w:rsid w:val="006C54AB"/>
    <w:rsid w:val="006D3D1C"/>
    <w:rsid w:val="006D4542"/>
    <w:rsid w:val="006D5812"/>
    <w:rsid w:val="006E0F0C"/>
    <w:rsid w:val="006E7ABB"/>
    <w:rsid w:val="006F1974"/>
    <w:rsid w:val="006F6B73"/>
    <w:rsid w:val="006F7E21"/>
    <w:rsid w:val="00700938"/>
    <w:rsid w:val="00717698"/>
    <w:rsid w:val="00727795"/>
    <w:rsid w:val="00734454"/>
    <w:rsid w:val="007451DC"/>
    <w:rsid w:val="00751C96"/>
    <w:rsid w:val="00752237"/>
    <w:rsid w:val="00756CCA"/>
    <w:rsid w:val="007601DB"/>
    <w:rsid w:val="00776B63"/>
    <w:rsid w:val="00783849"/>
    <w:rsid w:val="00792C43"/>
    <w:rsid w:val="00793CB9"/>
    <w:rsid w:val="00793CC4"/>
    <w:rsid w:val="007972FD"/>
    <w:rsid w:val="007A1929"/>
    <w:rsid w:val="007A74E5"/>
    <w:rsid w:val="007B093D"/>
    <w:rsid w:val="007C3F63"/>
    <w:rsid w:val="007C5852"/>
    <w:rsid w:val="007C6E5F"/>
    <w:rsid w:val="007C757E"/>
    <w:rsid w:val="007E0FC4"/>
    <w:rsid w:val="007F06AC"/>
    <w:rsid w:val="007F28A8"/>
    <w:rsid w:val="00804888"/>
    <w:rsid w:val="00807B4B"/>
    <w:rsid w:val="00811FEC"/>
    <w:rsid w:val="0081548C"/>
    <w:rsid w:val="00824644"/>
    <w:rsid w:val="0082523C"/>
    <w:rsid w:val="00825870"/>
    <w:rsid w:val="008332E9"/>
    <w:rsid w:val="00837038"/>
    <w:rsid w:val="00843EAD"/>
    <w:rsid w:val="00845BE1"/>
    <w:rsid w:val="008540B5"/>
    <w:rsid w:val="008554BD"/>
    <w:rsid w:val="0086781A"/>
    <w:rsid w:val="00871DC0"/>
    <w:rsid w:val="00880301"/>
    <w:rsid w:val="00880CE1"/>
    <w:rsid w:val="00890618"/>
    <w:rsid w:val="008955F6"/>
    <w:rsid w:val="00897531"/>
    <w:rsid w:val="008977DC"/>
    <w:rsid w:val="008A5F5E"/>
    <w:rsid w:val="008B25E2"/>
    <w:rsid w:val="008B3A81"/>
    <w:rsid w:val="008B44A0"/>
    <w:rsid w:val="008B46A1"/>
    <w:rsid w:val="008D541A"/>
    <w:rsid w:val="008D681B"/>
    <w:rsid w:val="008D742C"/>
    <w:rsid w:val="008F4156"/>
    <w:rsid w:val="008F53D5"/>
    <w:rsid w:val="009005BC"/>
    <w:rsid w:val="00910D52"/>
    <w:rsid w:val="00911319"/>
    <w:rsid w:val="00924F71"/>
    <w:rsid w:val="0093051A"/>
    <w:rsid w:val="0093758E"/>
    <w:rsid w:val="00940EEA"/>
    <w:rsid w:val="00943571"/>
    <w:rsid w:val="00965EE8"/>
    <w:rsid w:val="00972A41"/>
    <w:rsid w:val="009739BA"/>
    <w:rsid w:val="009743FF"/>
    <w:rsid w:val="009755A4"/>
    <w:rsid w:val="00983A2B"/>
    <w:rsid w:val="009840C4"/>
    <w:rsid w:val="0098688A"/>
    <w:rsid w:val="00995871"/>
    <w:rsid w:val="00995F26"/>
    <w:rsid w:val="009B3BB3"/>
    <w:rsid w:val="009C4694"/>
    <w:rsid w:val="009C5F5D"/>
    <w:rsid w:val="009E079A"/>
    <w:rsid w:val="009E5A90"/>
    <w:rsid w:val="009E5CD7"/>
    <w:rsid w:val="009E6219"/>
    <w:rsid w:val="00A0577D"/>
    <w:rsid w:val="00A126BD"/>
    <w:rsid w:val="00A1317A"/>
    <w:rsid w:val="00A150BE"/>
    <w:rsid w:val="00A16AA8"/>
    <w:rsid w:val="00A20EF4"/>
    <w:rsid w:val="00A2427A"/>
    <w:rsid w:val="00A24A8A"/>
    <w:rsid w:val="00A24F0D"/>
    <w:rsid w:val="00A3289E"/>
    <w:rsid w:val="00A453BF"/>
    <w:rsid w:val="00A47918"/>
    <w:rsid w:val="00A52202"/>
    <w:rsid w:val="00A5459B"/>
    <w:rsid w:val="00A54FD0"/>
    <w:rsid w:val="00A57D63"/>
    <w:rsid w:val="00A61C85"/>
    <w:rsid w:val="00A6658C"/>
    <w:rsid w:val="00A749F4"/>
    <w:rsid w:val="00A75787"/>
    <w:rsid w:val="00A76DF2"/>
    <w:rsid w:val="00A8181B"/>
    <w:rsid w:val="00A8300A"/>
    <w:rsid w:val="00A87A3D"/>
    <w:rsid w:val="00A966F5"/>
    <w:rsid w:val="00A96D16"/>
    <w:rsid w:val="00A96D5C"/>
    <w:rsid w:val="00A974C7"/>
    <w:rsid w:val="00AA63F2"/>
    <w:rsid w:val="00AA7F4F"/>
    <w:rsid w:val="00AA7FA7"/>
    <w:rsid w:val="00AB15EE"/>
    <w:rsid w:val="00AB58A5"/>
    <w:rsid w:val="00AB67CA"/>
    <w:rsid w:val="00AC2448"/>
    <w:rsid w:val="00AC49BB"/>
    <w:rsid w:val="00AC64EA"/>
    <w:rsid w:val="00AC66C8"/>
    <w:rsid w:val="00AC67D8"/>
    <w:rsid w:val="00AD2D98"/>
    <w:rsid w:val="00AD36B9"/>
    <w:rsid w:val="00AD4890"/>
    <w:rsid w:val="00AD48FC"/>
    <w:rsid w:val="00AD53B2"/>
    <w:rsid w:val="00AD7DE5"/>
    <w:rsid w:val="00AE50E3"/>
    <w:rsid w:val="00AF6B8A"/>
    <w:rsid w:val="00B03A9F"/>
    <w:rsid w:val="00B14F7D"/>
    <w:rsid w:val="00B177B2"/>
    <w:rsid w:val="00B337A9"/>
    <w:rsid w:val="00B43BA4"/>
    <w:rsid w:val="00B44811"/>
    <w:rsid w:val="00B4587F"/>
    <w:rsid w:val="00B477E6"/>
    <w:rsid w:val="00B57F45"/>
    <w:rsid w:val="00B60B07"/>
    <w:rsid w:val="00B61238"/>
    <w:rsid w:val="00B61F4E"/>
    <w:rsid w:val="00B64A06"/>
    <w:rsid w:val="00B81681"/>
    <w:rsid w:val="00B83098"/>
    <w:rsid w:val="00B83D4C"/>
    <w:rsid w:val="00B851AF"/>
    <w:rsid w:val="00B92AAE"/>
    <w:rsid w:val="00B945F8"/>
    <w:rsid w:val="00B9642E"/>
    <w:rsid w:val="00BA4C9D"/>
    <w:rsid w:val="00BA7C75"/>
    <w:rsid w:val="00BC7641"/>
    <w:rsid w:val="00BD0003"/>
    <w:rsid w:val="00BE5C7C"/>
    <w:rsid w:val="00BE6542"/>
    <w:rsid w:val="00BF09E1"/>
    <w:rsid w:val="00BF2933"/>
    <w:rsid w:val="00BF7C09"/>
    <w:rsid w:val="00C0185A"/>
    <w:rsid w:val="00C044B2"/>
    <w:rsid w:val="00C07449"/>
    <w:rsid w:val="00C11E8B"/>
    <w:rsid w:val="00C1271F"/>
    <w:rsid w:val="00C14FEC"/>
    <w:rsid w:val="00C25DD4"/>
    <w:rsid w:val="00C266E4"/>
    <w:rsid w:val="00C27AF0"/>
    <w:rsid w:val="00C34134"/>
    <w:rsid w:val="00C35FBA"/>
    <w:rsid w:val="00C37B82"/>
    <w:rsid w:val="00C4212E"/>
    <w:rsid w:val="00C43D16"/>
    <w:rsid w:val="00C57A8C"/>
    <w:rsid w:val="00C635CA"/>
    <w:rsid w:val="00C65186"/>
    <w:rsid w:val="00C6535D"/>
    <w:rsid w:val="00C656AB"/>
    <w:rsid w:val="00C6585A"/>
    <w:rsid w:val="00C74043"/>
    <w:rsid w:val="00C76E4C"/>
    <w:rsid w:val="00C95A8E"/>
    <w:rsid w:val="00CA39CE"/>
    <w:rsid w:val="00CC04F5"/>
    <w:rsid w:val="00CD52B0"/>
    <w:rsid w:val="00CD7615"/>
    <w:rsid w:val="00CE0255"/>
    <w:rsid w:val="00CE14BA"/>
    <w:rsid w:val="00CE4AB0"/>
    <w:rsid w:val="00CE57D0"/>
    <w:rsid w:val="00D02664"/>
    <w:rsid w:val="00D02D32"/>
    <w:rsid w:val="00D037AF"/>
    <w:rsid w:val="00D04B48"/>
    <w:rsid w:val="00D104E7"/>
    <w:rsid w:val="00D24A6A"/>
    <w:rsid w:val="00D314A2"/>
    <w:rsid w:val="00D34DFC"/>
    <w:rsid w:val="00D457CC"/>
    <w:rsid w:val="00D47C2B"/>
    <w:rsid w:val="00D50593"/>
    <w:rsid w:val="00D57660"/>
    <w:rsid w:val="00D83E35"/>
    <w:rsid w:val="00D96871"/>
    <w:rsid w:val="00D974FF"/>
    <w:rsid w:val="00DA2B6E"/>
    <w:rsid w:val="00DA2FCA"/>
    <w:rsid w:val="00DA3855"/>
    <w:rsid w:val="00DB3CDB"/>
    <w:rsid w:val="00DB41D7"/>
    <w:rsid w:val="00DB5B82"/>
    <w:rsid w:val="00DB6DFD"/>
    <w:rsid w:val="00DB7D76"/>
    <w:rsid w:val="00DC3FBC"/>
    <w:rsid w:val="00DE52BB"/>
    <w:rsid w:val="00DE63A3"/>
    <w:rsid w:val="00DF389A"/>
    <w:rsid w:val="00DF4429"/>
    <w:rsid w:val="00DF7585"/>
    <w:rsid w:val="00DF7EDA"/>
    <w:rsid w:val="00E0218D"/>
    <w:rsid w:val="00E04395"/>
    <w:rsid w:val="00E0551B"/>
    <w:rsid w:val="00E103BD"/>
    <w:rsid w:val="00E10A2B"/>
    <w:rsid w:val="00E13170"/>
    <w:rsid w:val="00E1319A"/>
    <w:rsid w:val="00E13859"/>
    <w:rsid w:val="00E16C7D"/>
    <w:rsid w:val="00E235E4"/>
    <w:rsid w:val="00E27DD5"/>
    <w:rsid w:val="00E354AF"/>
    <w:rsid w:val="00E417F1"/>
    <w:rsid w:val="00E43404"/>
    <w:rsid w:val="00E54B2A"/>
    <w:rsid w:val="00E56848"/>
    <w:rsid w:val="00E77C99"/>
    <w:rsid w:val="00E87931"/>
    <w:rsid w:val="00E97F35"/>
    <w:rsid w:val="00EA0235"/>
    <w:rsid w:val="00EA3651"/>
    <w:rsid w:val="00EA4040"/>
    <w:rsid w:val="00EA5E85"/>
    <w:rsid w:val="00EB3152"/>
    <w:rsid w:val="00EC66D9"/>
    <w:rsid w:val="00ED00BB"/>
    <w:rsid w:val="00ED0D65"/>
    <w:rsid w:val="00ED6DC8"/>
    <w:rsid w:val="00EE000F"/>
    <w:rsid w:val="00EE60FC"/>
    <w:rsid w:val="00EE6C83"/>
    <w:rsid w:val="00F01C0C"/>
    <w:rsid w:val="00F1151A"/>
    <w:rsid w:val="00F11714"/>
    <w:rsid w:val="00F124FA"/>
    <w:rsid w:val="00F26CD2"/>
    <w:rsid w:val="00F27711"/>
    <w:rsid w:val="00F32498"/>
    <w:rsid w:val="00F343D2"/>
    <w:rsid w:val="00F3622E"/>
    <w:rsid w:val="00F557F8"/>
    <w:rsid w:val="00F60883"/>
    <w:rsid w:val="00F612AB"/>
    <w:rsid w:val="00F653F8"/>
    <w:rsid w:val="00F74349"/>
    <w:rsid w:val="00F749EA"/>
    <w:rsid w:val="00F7585C"/>
    <w:rsid w:val="00F760AD"/>
    <w:rsid w:val="00F76D00"/>
    <w:rsid w:val="00F81ACE"/>
    <w:rsid w:val="00F927CC"/>
    <w:rsid w:val="00FA6313"/>
    <w:rsid w:val="00FB7B73"/>
    <w:rsid w:val="00FC385E"/>
    <w:rsid w:val="00FC5FCE"/>
    <w:rsid w:val="00FC7513"/>
    <w:rsid w:val="00FC7C9C"/>
    <w:rsid w:val="00FD3FE5"/>
    <w:rsid w:val="00FD6415"/>
    <w:rsid w:val="00FE0C2E"/>
    <w:rsid w:val="00FE4A7A"/>
    <w:rsid w:val="00FE5EF6"/>
    <w:rsid w:val="00FF2AC5"/>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2D99"/>
  <w15:chartTrackingRefBased/>
  <w15:docId w15:val="{9D8C9ABC-463E-47B4-9469-C7A0E5FA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3D"/>
    <w:pPr>
      <w:spacing w:before="24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character" w:customStyle="1" w:styleId="markedcontent">
    <w:name w:val="markedcontent"/>
    <w:basedOn w:val="DefaultParagraphFont"/>
    <w:rsid w:val="0058420E"/>
  </w:style>
  <w:style w:type="paragraph" w:styleId="ListParagraph">
    <w:name w:val="List Paragraph"/>
    <w:basedOn w:val="Normal"/>
    <w:uiPriority w:val="34"/>
    <w:qFormat/>
    <w:rsid w:val="00BD0003"/>
    <w:pPr>
      <w:ind w:left="720"/>
      <w:contextualSpacing/>
    </w:pPr>
  </w:style>
  <w:style w:type="character" w:styleId="Emphasis">
    <w:name w:val="Emphasis"/>
    <w:basedOn w:val="DefaultParagraphFont"/>
    <w:uiPriority w:val="20"/>
    <w:qFormat/>
    <w:rsid w:val="00FC7513"/>
    <w:rPr>
      <w:i/>
      <w:iCs/>
    </w:rPr>
  </w:style>
  <w:style w:type="character" w:styleId="Hyperlink">
    <w:name w:val="Hyperlink"/>
    <w:basedOn w:val="DefaultParagraphFont"/>
    <w:uiPriority w:val="99"/>
    <w:semiHidden/>
    <w:unhideWhenUsed/>
    <w:rsid w:val="00FC7513"/>
    <w:rPr>
      <w:color w:val="0000FF"/>
      <w:u w:val="single"/>
    </w:rPr>
  </w:style>
  <w:style w:type="character" w:styleId="CommentReference">
    <w:name w:val="annotation reference"/>
    <w:basedOn w:val="DefaultParagraphFont"/>
    <w:uiPriority w:val="99"/>
    <w:semiHidden/>
    <w:unhideWhenUsed/>
    <w:rsid w:val="00511CB9"/>
    <w:rPr>
      <w:sz w:val="16"/>
      <w:szCs w:val="16"/>
    </w:rPr>
  </w:style>
  <w:style w:type="paragraph" w:styleId="CommentText">
    <w:name w:val="annotation text"/>
    <w:basedOn w:val="Normal"/>
    <w:link w:val="CommentTextChar"/>
    <w:uiPriority w:val="99"/>
    <w:semiHidden/>
    <w:unhideWhenUsed/>
    <w:rsid w:val="00511CB9"/>
    <w:pPr>
      <w:spacing w:line="240" w:lineRule="auto"/>
    </w:pPr>
    <w:rPr>
      <w:sz w:val="20"/>
      <w:szCs w:val="20"/>
    </w:rPr>
  </w:style>
  <w:style w:type="character" w:customStyle="1" w:styleId="CommentTextChar">
    <w:name w:val="Comment Text Char"/>
    <w:basedOn w:val="DefaultParagraphFont"/>
    <w:link w:val="CommentText"/>
    <w:uiPriority w:val="99"/>
    <w:semiHidden/>
    <w:rsid w:val="00511CB9"/>
    <w:rPr>
      <w:sz w:val="20"/>
      <w:szCs w:val="20"/>
    </w:rPr>
  </w:style>
  <w:style w:type="paragraph" w:styleId="CommentSubject">
    <w:name w:val="annotation subject"/>
    <w:basedOn w:val="CommentText"/>
    <w:next w:val="CommentText"/>
    <w:link w:val="CommentSubjectChar"/>
    <w:uiPriority w:val="99"/>
    <w:semiHidden/>
    <w:unhideWhenUsed/>
    <w:rsid w:val="00511CB9"/>
    <w:rPr>
      <w:b/>
      <w:bCs/>
    </w:rPr>
  </w:style>
  <w:style w:type="character" w:customStyle="1" w:styleId="CommentSubjectChar">
    <w:name w:val="Comment Subject Char"/>
    <w:basedOn w:val="CommentTextChar"/>
    <w:link w:val="CommentSubject"/>
    <w:uiPriority w:val="99"/>
    <w:semiHidden/>
    <w:rsid w:val="00511C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3315">
      <w:bodyDiv w:val="1"/>
      <w:marLeft w:val="0"/>
      <w:marRight w:val="0"/>
      <w:marTop w:val="0"/>
      <w:marBottom w:val="0"/>
      <w:divBdr>
        <w:top w:val="none" w:sz="0" w:space="0" w:color="auto"/>
        <w:left w:val="none" w:sz="0" w:space="0" w:color="auto"/>
        <w:bottom w:val="none" w:sz="0" w:space="0" w:color="auto"/>
        <w:right w:val="none" w:sz="0" w:space="0" w:color="auto"/>
      </w:divBdr>
      <w:divsChild>
        <w:div w:id="1856532428">
          <w:marLeft w:val="0"/>
          <w:marRight w:val="0"/>
          <w:marTop w:val="0"/>
          <w:marBottom w:val="0"/>
          <w:divBdr>
            <w:top w:val="none" w:sz="0" w:space="0" w:color="auto"/>
            <w:left w:val="none" w:sz="0" w:space="0" w:color="auto"/>
            <w:bottom w:val="none" w:sz="0" w:space="0" w:color="auto"/>
            <w:right w:val="none" w:sz="0" w:space="0" w:color="auto"/>
          </w:divBdr>
          <w:divsChild>
            <w:div w:id="1018317759">
              <w:marLeft w:val="0"/>
              <w:marRight w:val="0"/>
              <w:marTop w:val="0"/>
              <w:marBottom w:val="0"/>
              <w:divBdr>
                <w:top w:val="none" w:sz="0" w:space="0" w:color="auto"/>
                <w:left w:val="none" w:sz="0" w:space="0" w:color="auto"/>
                <w:bottom w:val="none" w:sz="0" w:space="0" w:color="auto"/>
                <w:right w:val="none" w:sz="0" w:space="0" w:color="auto"/>
              </w:divBdr>
              <w:divsChild>
                <w:div w:id="11838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2742">
      <w:bodyDiv w:val="1"/>
      <w:marLeft w:val="0"/>
      <w:marRight w:val="0"/>
      <w:marTop w:val="0"/>
      <w:marBottom w:val="0"/>
      <w:divBdr>
        <w:top w:val="none" w:sz="0" w:space="0" w:color="auto"/>
        <w:left w:val="none" w:sz="0" w:space="0" w:color="auto"/>
        <w:bottom w:val="none" w:sz="0" w:space="0" w:color="auto"/>
        <w:right w:val="none" w:sz="0" w:space="0" w:color="auto"/>
      </w:divBdr>
      <w:divsChild>
        <w:div w:id="354383257">
          <w:marLeft w:val="0"/>
          <w:marRight w:val="0"/>
          <w:marTop w:val="0"/>
          <w:marBottom w:val="0"/>
          <w:divBdr>
            <w:top w:val="none" w:sz="0" w:space="0" w:color="auto"/>
            <w:left w:val="none" w:sz="0" w:space="0" w:color="auto"/>
            <w:bottom w:val="none" w:sz="0" w:space="0" w:color="auto"/>
            <w:right w:val="none" w:sz="0" w:space="0" w:color="auto"/>
          </w:divBdr>
          <w:divsChild>
            <w:div w:id="598215441">
              <w:marLeft w:val="0"/>
              <w:marRight w:val="0"/>
              <w:marTop w:val="0"/>
              <w:marBottom w:val="0"/>
              <w:divBdr>
                <w:top w:val="none" w:sz="0" w:space="0" w:color="auto"/>
                <w:left w:val="none" w:sz="0" w:space="0" w:color="auto"/>
                <w:bottom w:val="none" w:sz="0" w:space="0" w:color="auto"/>
                <w:right w:val="none" w:sz="0" w:space="0" w:color="auto"/>
              </w:divBdr>
              <w:divsChild>
                <w:div w:id="143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6701">
      <w:bodyDiv w:val="1"/>
      <w:marLeft w:val="0"/>
      <w:marRight w:val="0"/>
      <w:marTop w:val="0"/>
      <w:marBottom w:val="0"/>
      <w:divBdr>
        <w:top w:val="none" w:sz="0" w:space="0" w:color="auto"/>
        <w:left w:val="none" w:sz="0" w:space="0" w:color="auto"/>
        <w:bottom w:val="none" w:sz="0" w:space="0" w:color="auto"/>
        <w:right w:val="none" w:sz="0" w:space="0" w:color="auto"/>
      </w:divBdr>
      <w:divsChild>
        <w:div w:id="1683702149">
          <w:marLeft w:val="0"/>
          <w:marRight w:val="0"/>
          <w:marTop w:val="0"/>
          <w:marBottom w:val="0"/>
          <w:divBdr>
            <w:top w:val="none" w:sz="0" w:space="0" w:color="auto"/>
            <w:left w:val="none" w:sz="0" w:space="0" w:color="auto"/>
            <w:bottom w:val="none" w:sz="0" w:space="0" w:color="auto"/>
            <w:right w:val="none" w:sz="0" w:space="0" w:color="auto"/>
          </w:divBdr>
          <w:divsChild>
            <w:div w:id="819081759">
              <w:marLeft w:val="0"/>
              <w:marRight w:val="0"/>
              <w:marTop w:val="0"/>
              <w:marBottom w:val="0"/>
              <w:divBdr>
                <w:top w:val="none" w:sz="0" w:space="0" w:color="auto"/>
                <w:left w:val="none" w:sz="0" w:space="0" w:color="auto"/>
                <w:bottom w:val="none" w:sz="0" w:space="0" w:color="auto"/>
                <w:right w:val="none" w:sz="0" w:space="0" w:color="auto"/>
              </w:divBdr>
              <w:divsChild>
                <w:div w:id="8146287">
                  <w:marLeft w:val="0"/>
                  <w:marRight w:val="0"/>
                  <w:marTop w:val="0"/>
                  <w:marBottom w:val="0"/>
                  <w:divBdr>
                    <w:top w:val="none" w:sz="0" w:space="0" w:color="auto"/>
                    <w:left w:val="none" w:sz="0" w:space="0" w:color="auto"/>
                    <w:bottom w:val="none" w:sz="0" w:space="0" w:color="auto"/>
                    <w:right w:val="none" w:sz="0" w:space="0" w:color="auto"/>
                  </w:divBdr>
                </w:div>
                <w:div w:id="514928947">
                  <w:marLeft w:val="0"/>
                  <w:marRight w:val="0"/>
                  <w:marTop w:val="0"/>
                  <w:marBottom w:val="0"/>
                  <w:divBdr>
                    <w:top w:val="none" w:sz="0" w:space="0" w:color="auto"/>
                    <w:left w:val="none" w:sz="0" w:space="0" w:color="auto"/>
                    <w:bottom w:val="none" w:sz="0" w:space="0" w:color="auto"/>
                    <w:right w:val="none" w:sz="0" w:space="0" w:color="auto"/>
                  </w:divBdr>
                  <w:divsChild>
                    <w:div w:id="1226768528">
                      <w:marLeft w:val="0"/>
                      <w:marRight w:val="0"/>
                      <w:marTop w:val="0"/>
                      <w:marBottom w:val="0"/>
                      <w:divBdr>
                        <w:top w:val="none" w:sz="0" w:space="0" w:color="auto"/>
                        <w:left w:val="none" w:sz="0" w:space="0" w:color="auto"/>
                        <w:bottom w:val="none" w:sz="0" w:space="0" w:color="auto"/>
                        <w:right w:val="none" w:sz="0" w:space="0" w:color="auto"/>
                      </w:divBdr>
                    </w:div>
                  </w:divsChild>
                </w:div>
                <w:div w:id="268245316">
                  <w:marLeft w:val="0"/>
                  <w:marRight w:val="0"/>
                  <w:marTop w:val="0"/>
                  <w:marBottom w:val="0"/>
                  <w:divBdr>
                    <w:top w:val="none" w:sz="0" w:space="0" w:color="auto"/>
                    <w:left w:val="none" w:sz="0" w:space="0" w:color="auto"/>
                    <w:bottom w:val="none" w:sz="0" w:space="0" w:color="auto"/>
                    <w:right w:val="none" w:sz="0" w:space="0" w:color="auto"/>
                  </w:divBdr>
                  <w:divsChild>
                    <w:div w:id="229118027">
                      <w:marLeft w:val="0"/>
                      <w:marRight w:val="0"/>
                      <w:marTop w:val="0"/>
                      <w:marBottom w:val="0"/>
                      <w:divBdr>
                        <w:top w:val="none" w:sz="0" w:space="0" w:color="auto"/>
                        <w:left w:val="none" w:sz="0" w:space="0" w:color="auto"/>
                        <w:bottom w:val="none" w:sz="0" w:space="0" w:color="auto"/>
                        <w:right w:val="none" w:sz="0" w:space="0" w:color="auto"/>
                      </w:divBdr>
                    </w:div>
                  </w:divsChild>
                </w:div>
                <w:div w:id="1859539044">
                  <w:marLeft w:val="0"/>
                  <w:marRight w:val="0"/>
                  <w:marTop w:val="0"/>
                  <w:marBottom w:val="0"/>
                  <w:divBdr>
                    <w:top w:val="none" w:sz="0" w:space="0" w:color="auto"/>
                    <w:left w:val="none" w:sz="0" w:space="0" w:color="auto"/>
                    <w:bottom w:val="none" w:sz="0" w:space="0" w:color="auto"/>
                    <w:right w:val="none" w:sz="0" w:space="0" w:color="auto"/>
                  </w:divBdr>
                  <w:divsChild>
                    <w:div w:id="1652710356">
                      <w:marLeft w:val="0"/>
                      <w:marRight w:val="0"/>
                      <w:marTop w:val="0"/>
                      <w:marBottom w:val="0"/>
                      <w:divBdr>
                        <w:top w:val="none" w:sz="0" w:space="0" w:color="auto"/>
                        <w:left w:val="none" w:sz="0" w:space="0" w:color="auto"/>
                        <w:bottom w:val="none" w:sz="0" w:space="0" w:color="auto"/>
                        <w:right w:val="none" w:sz="0" w:space="0" w:color="auto"/>
                      </w:divBdr>
                    </w:div>
                  </w:divsChild>
                </w:div>
                <w:div w:id="1767115127">
                  <w:marLeft w:val="0"/>
                  <w:marRight w:val="0"/>
                  <w:marTop w:val="0"/>
                  <w:marBottom w:val="0"/>
                  <w:divBdr>
                    <w:top w:val="none" w:sz="0" w:space="0" w:color="auto"/>
                    <w:left w:val="none" w:sz="0" w:space="0" w:color="auto"/>
                    <w:bottom w:val="none" w:sz="0" w:space="0" w:color="auto"/>
                    <w:right w:val="none" w:sz="0" w:space="0" w:color="auto"/>
                  </w:divBdr>
                  <w:divsChild>
                    <w:div w:id="9953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4319">
      <w:bodyDiv w:val="1"/>
      <w:marLeft w:val="0"/>
      <w:marRight w:val="0"/>
      <w:marTop w:val="0"/>
      <w:marBottom w:val="0"/>
      <w:divBdr>
        <w:top w:val="none" w:sz="0" w:space="0" w:color="auto"/>
        <w:left w:val="none" w:sz="0" w:space="0" w:color="auto"/>
        <w:bottom w:val="none" w:sz="0" w:space="0" w:color="auto"/>
        <w:right w:val="none" w:sz="0" w:space="0" w:color="auto"/>
      </w:divBdr>
      <w:divsChild>
        <w:div w:id="486019798">
          <w:marLeft w:val="0"/>
          <w:marRight w:val="0"/>
          <w:marTop w:val="0"/>
          <w:marBottom w:val="0"/>
          <w:divBdr>
            <w:top w:val="none" w:sz="0" w:space="0" w:color="auto"/>
            <w:left w:val="none" w:sz="0" w:space="0" w:color="auto"/>
            <w:bottom w:val="none" w:sz="0" w:space="0" w:color="auto"/>
            <w:right w:val="none" w:sz="0" w:space="0" w:color="auto"/>
          </w:divBdr>
          <w:divsChild>
            <w:div w:id="1724022567">
              <w:marLeft w:val="0"/>
              <w:marRight w:val="0"/>
              <w:marTop w:val="0"/>
              <w:marBottom w:val="0"/>
              <w:divBdr>
                <w:top w:val="none" w:sz="0" w:space="0" w:color="auto"/>
                <w:left w:val="none" w:sz="0" w:space="0" w:color="auto"/>
                <w:bottom w:val="none" w:sz="0" w:space="0" w:color="auto"/>
                <w:right w:val="none" w:sz="0" w:space="0" w:color="auto"/>
              </w:divBdr>
              <w:divsChild>
                <w:div w:id="3628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611">
      <w:bodyDiv w:val="1"/>
      <w:marLeft w:val="0"/>
      <w:marRight w:val="0"/>
      <w:marTop w:val="0"/>
      <w:marBottom w:val="0"/>
      <w:divBdr>
        <w:top w:val="none" w:sz="0" w:space="0" w:color="auto"/>
        <w:left w:val="none" w:sz="0" w:space="0" w:color="auto"/>
        <w:bottom w:val="none" w:sz="0" w:space="0" w:color="auto"/>
        <w:right w:val="none" w:sz="0" w:space="0" w:color="auto"/>
      </w:divBdr>
      <w:divsChild>
        <w:div w:id="1010447808">
          <w:marLeft w:val="0"/>
          <w:marRight w:val="0"/>
          <w:marTop w:val="0"/>
          <w:marBottom w:val="0"/>
          <w:divBdr>
            <w:top w:val="none" w:sz="0" w:space="0" w:color="auto"/>
            <w:left w:val="none" w:sz="0" w:space="0" w:color="auto"/>
            <w:bottom w:val="none" w:sz="0" w:space="0" w:color="auto"/>
            <w:right w:val="none" w:sz="0" w:space="0" w:color="auto"/>
          </w:divBdr>
          <w:divsChild>
            <w:div w:id="1184517387">
              <w:marLeft w:val="0"/>
              <w:marRight w:val="0"/>
              <w:marTop w:val="0"/>
              <w:marBottom w:val="0"/>
              <w:divBdr>
                <w:top w:val="none" w:sz="0" w:space="0" w:color="auto"/>
                <w:left w:val="none" w:sz="0" w:space="0" w:color="auto"/>
                <w:bottom w:val="none" w:sz="0" w:space="0" w:color="auto"/>
                <w:right w:val="none" w:sz="0" w:space="0" w:color="auto"/>
              </w:divBdr>
              <w:divsChild>
                <w:div w:id="274338528">
                  <w:marLeft w:val="0"/>
                  <w:marRight w:val="0"/>
                  <w:marTop w:val="0"/>
                  <w:marBottom w:val="0"/>
                  <w:divBdr>
                    <w:top w:val="none" w:sz="0" w:space="0" w:color="auto"/>
                    <w:left w:val="none" w:sz="0" w:space="0" w:color="auto"/>
                    <w:bottom w:val="none" w:sz="0" w:space="0" w:color="auto"/>
                    <w:right w:val="none" w:sz="0" w:space="0" w:color="auto"/>
                  </w:divBdr>
                </w:div>
                <w:div w:id="485319905">
                  <w:marLeft w:val="0"/>
                  <w:marRight w:val="0"/>
                  <w:marTop w:val="0"/>
                  <w:marBottom w:val="0"/>
                  <w:divBdr>
                    <w:top w:val="none" w:sz="0" w:space="0" w:color="auto"/>
                    <w:left w:val="none" w:sz="0" w:space="0" w:color="auto"/>
                    <w:bottom w:val="none" w:sz="0" w:space="0" w:color="auto"/>
                    <w:right w:val="none" w:sz="0" w:space="0" w:color="auto"/>
                  </w:divBdr>
                </w:div>
                <w:div w:id="1948197551">
                  <w:marLeft w:val="0"/>
                  <w:marRight w:val="0"/>
                  <w:marTop w:val="0"/>
                  <w:marBottom w:val="0"/>
                  <w:divBdr>
                    <w:top w:val="none" w:sz="0" w:space="0" w:color="auto"/>
                    <w:left w:val="none" w:sz="0" w:space="0" w:color="auto"/>
                    <w:bottom w:val="none" w:sz="0" w:space="0" w:color="auto"/>
                    <w:right w:val="none" w:sz="0" w:space="0" w:color="auto"/>
                  </w:divBdr>
                  <w:divsChild>
                    <w:div w:id="974217005">
                      <w:marLeft w:val="0"/>
                      <w:marRight w:val="0"/>
                      <w:marTop w:val="0"/>
                      <w:marBottom w:val="0"/>
                      <w:divBdr>
                        <w:top w:val="none" w:sz="0" w:space="0" w:color="auto"/>
                        <w:left w:val="none" w:sz="0" w:space="0" w:color="auto"/>
                        <w:bottom w:val="none" w:sz="0" w:space="0" w:color="auto"/>
                        <w:right w:val="none" w:sz="0" w:space="0" w:color="auto"/>
                      </w:divBdr>
                    </w:div>
                  </w:divsChild>
                </w:div>
                <w:div w:id="2131390782">
                  <w:marLeft w:val="0"/>
                  <w:marRight w:val="0"/>
                  <w:marTop w:val="0"/>
                  <w:marBottom w:val="0"/>
                  <w:divBdr>
                    <w:top w:val="none" w:sz="0" w:space="0" w:color="auto"/>
                    <w:left w:val="none" w:sz="0" w:space="0" w:color="auto"/>
                    <w:bottom w:val="none" w:sz="0" w:space="0" w:color="auto"/>
                    <w:right w:val="none" w:sz="0" w:space="0" w:color="auto"/>
                  </w:divBdr>
                  <w:divsChild>
                    <w:div w:id="838279257">
                      <w:marLeft w:val="0"/>
                      <w:marRight w:val="0"/>
                      <w:marTop w:val="0"/>
                      <w:marBottom w:val="0"/>
                      <w:divBdr>
                        <w:top w:val="none" w:sz="0" w:space="0" w:color="auto"/>
                        <w:left w:val="none" w:sz="0" w:space="0" w:color="auto"/>
                        <w:bottom w:val="none" w:sz="0" w:space="0" w:color="auto"/>
                        <w:right w:val="none" w:sz="0" w:space="0" w:color="auto"/>
                      </w:divBdr>
                    </w:div>
                  </w:divsChild>
                </w:div>
                <w:div w:id="1059934060">
                  <w:marLeft w:val="0"/>
                  <w:marRight w:val="0"/>
                  <w:marTop w:val="0"/>
                  <w:marBottom w:val="0"/>
                  <w:divBdr>
                    <w:top w:val="none" w:sz="0" w:space="0" w:color="auto"/>
                    <w:left w:val="none" w:sz="0" w:space="0" w:color="auto"/>
                    <w:bottom w:val="none" w:sz="0" w:space="0" w:color="auto"/>
                    <w:right w:val="none" w:sz="0" w:space="0" w:color="auto"/>
                  </w:divBdr>
                  <w:divsChild>
                    <w:div w:id="2126338856">
                      <w:marLeft w:val="0"/>
                      <w:marRight w:val="0"/>
                      <w:marTop w:val="0"/>
                      <w:marBottom w:val="0"/>
                      <w:divBdr>
                        <w:top w:val="none" w:sz="0" w:space="0" w:color="auto"/>
                        <w:left w:val="none" w:sz="0" w:space="0" w:color="auto"/>
                        <w:bottom w:val="none" w:sz="0" w:space="0" w:color="auto"/>
                        <w:right w:val="none" w:sz="0" w:space="0" w:color="auto"/>
                      </w:divBdr>
                    </w:div>
                  </w:divsChild>
                </w:div>
                <w:div w:id="882863720">
                  <w:marLeft w:val="0"/>
                  <w:marRight w:val="0"/>
                  <w:marTop w:val="0"/>
                  <w:marBottom w:val="0"/>
                  <w:divBdr>
                    <w:top w:val="none" w:sz="0" w:space="0" w:color="auto"/>
                    <w:left w:val="none" w:sz="0" w:space="0" w:color="auto"/>
                    <w:bottom w:val="none" w:sz="0" w:space="0" w:color="auto"/>
                    <w:right w:val="none" w:sz="0" w:space="0" w:color="auto"/>
                  </w:divBdr>
                  <w:divsChild>
                    <w:div w:id="188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85386">
      <w:bodyDiv w:val="1"/>
      <w:marLeft w:val="0"/>
      <w:marRight w:val="0"/>
      <w:marTop w:val="0"/>
      <w:marBottom w:val="0"/>
      <w:divBdr>
        <w:top w:val="none" w:sz="0" w:space="0" w:color="auto"/>
        <w:left w:val="none" w:sz="0" w:space="0" w:color="auto"/>
        <w:bottom w:val="none" w:sz="0" w:space="0" w:color="auto"/>
        <w:right w:val="none" w:sz="0" w:space="0" w:color="auto"/>
      </w:divBdr>
      <w:divsChild>
        <w:div w:id="1371419295">
          <w:marLeft w:val="0"/>
          <w:marRight w:val="0"/>
          <w:marTop w:val="0"/>
          <w:marBottom w:val="0"/>
          <w:divBdr>
            <w:top w:val="none" w:sz="0" w:space="0" w:color="auto"/>
            <w:left w:val="none" w:sz="0" w:space="0" w:color="auto"/>
            <w:bottom w:val="none" w:sz="0" w:space="0" w:color="auto"/>
            <w:right w:val="none" w:sz="0" w:space="0" w:color="auto"/>
          </w:divBdr>
          <w:divsChild>
            <w:div w:id="13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68933">
      <w:bodyDiv w:val="1"/>
      <w:marLeft w:val="0"/>
      <w:marRight w:val="0"/>
      <w:marTop w:val="0"/>
      <w:marBottom w:val="0"/>
      <w:divBdr>
        <w:top w:val="none" w:sz="0" w:space="0" w:color="auto"/>
        <w:left w:val="none" w:sz="0" w:space="0" w:color="auto"/>
        <w:bottom w:val="none" w:sz="0" w:space="0" w:color="auto"/>
        <w:right w:val="none" w:sz="0" w:space="0" w:color="auto"/>
      </w:divBdr>
      <w:divsChild>
        <w:div w:id="62026154">
          <w:marLeft w:val="0"/>
          <w:marRight w:val="0"/>
          <w:marTop w:val="0"/>
          <w:marBottom w:val="0"/>
          <w:divBdr>
            <w:top w:val="none" w:sz="0" w:space="0" w:color="auto"/>
            <w:left w:val="none" w:sz="0" w:space="0" w:color="auto"/>
            <w:bottom w:val="none" w:sz="0" w:space="0" w:color="auto"/>
            <w:right w:val="none" w:sz="0" w:space="0" w:color="auto"/>
          </w:divBdr>
          <w:divsChild>
            <w:div w:id="801773149">
              <w:marLeft w:val="0"/>
              <w:marRight w:val="0"/>
              <w:marTop w:val="0"/>
              <w:marBottom w:val="0"/>
              <w:divBdr>
                <w:top w:val="none" w:sz="0" w:space="0" w:color="auto"/>
                <w:left w:val="none" w:sz="0" w:space="0" w:color="auto"/>
                <w:bottom w:val="none" w:sz="0" w:space="0" w:color="auto"/>
                <w:right w:val="none" w:sz="0" w:space="0" w:color="auto"/>
              </w:divBdr>
              <w:divsChild>
                <w:div w:id="1077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0112">
      <w:bodyDiv w:val="1"/>
      <w:marLeft w:val="0"/>
      <w:marRight w:val="0"/>
      <w:marTop w:val="0"/>
      <w:marBottom w:val="0"/>
      <w:divBdr>
        <w:top w:val="none" w:sz="0" w:space="0" w:color="auto"/>
        <w:left w:val="none" w:sz="0" w:space="0" w:color="auto"/>
        <w:bottom w:val="none" w:sz="0" w:space="0" w:color="auto"/>
        <w:right w:val="none" w:sz="0" w:space="0" w:color="auto"/>
      </w:divBdr>
      <w:divsChild>
        <w:div w:id="929893768">
          <w:marLeft w:val="0"/>
          <w:marRight w:val="0"/>
          <w:marTop w:val="0"/>
          <w:marBottom w:val="0"/>
          <w:divBdr>
            <w:top w:val="none" w:sz="0" w:space="0" w:color="auto"/>
            <w:left w:val="none" w:sz="0" w:space="0" w:color="auto"/>
            <w:bottom w:val="none" w:sz="0" w:space="0" w:color="auto"/>
            <w:right w:val="none" w:sz="0" w:space="0" w:color="auto"/>
          </w:divBdr>
          <w:divsChild>
            <w:div w:id="1372656432">
              <w:marLeft w:val="0"/>
              <w:marRight w:val="0"/>
              <w:marTop w:val="0"/>
              <w:marBottom w:val="0"/>
              <w:divBdr>
                <w:top w:val="none" w:sz="0" w:space="0" w:color="auto"/>
                <w:left w:val="none" w:sz="0" w:space="0" w:color="auto"/>
                <w:bottom w:val="none" w:sz="0" w:space="0" w:color="auto"/>
                <w:right w:val="none" w:sz="0" w:space="0" w:color="auto"/>
              </w:divBdr>
              <w:divsChild>
                <w:div w:id="198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2111">
      <w:bodyDiv w:val="1"/>
      <w:marLeft w:val="0"/>
      <w:marRight w:val="0"/>
      <w:marTop w:val="0"/>
      <w:marBottom w:val="0"/>
      <w:divBdr>
        <w:top w:val="none" w:sz="0" w:space="0" w:color="auto"/>
        <w:left w:val="none" w:sz="0" w:space="0" w:color="auto"/>
        <w:bottom w:val="none" w:sz="0" w:space="0" w:color="auto"/>
        <w:right w:val="none" w:sz="0" w:space="0" w:color="auto"/>
      </w:divBdr>
      <w:divsChild>
        <w:div w:id="1603217906">
          <w:marLeft w:val="0"/>
          <w:marRight w:val="0"/>
          <w:marTop w:val="0"/>
          <w:marBottom w:val="0"/>
          <w:divBdr>
            <w:top w:val="none" w:sz="0" w:space="0" w:color="auto"/>
            <w:left w:val="none" w:sz="0" w:space="0" w:color="auto"/>
            <w:bottom w:val="none" w:sz="0" w:space="0" w:color="auto"/>
            <w:right w:val="none" w:sz="0" w:space="0" w:color="auto"/>
          </w:divBdr>
          <w:divsChild>
            <w:div w:id="1062094215">
              <w:marLeft w:val="0"/>
              <w:marRight w:val="0"/>
              <w:marTop w:val="0"/>
              <w:marBottom w:val="0"/>
              <w:divBdr>
                <w:top w:val="none" w:sz="0" w:space="0" w:color="auto"/>
                <w:left w:val="none" w:sz="0" w:space="0" w:color="auto"/>
                <w:bottom w:val="none" w:sz="0" w:space="0" w:color="auto"/>
                <w:right w:val="none" w:sz="0" w:space="0" w:color="auto"/>
              </w:divBdr>
              <w:divsChild>
                <w:div w:id="8791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5250">
      <w:bodyDiv w:val="1"/>
      <w:marLeft w:val="0"/>
      <w:marRight w:val="0"/>
      <w:marTop w:val="0"/>
      <w:marBottom w:val="0"/>
      <w:divBdr>
        <w:top w:val="none" w:sz="0" w:space="0" w:color="auto"/>
        <w:left w:val="none" w:sz="0" w:space="0" w:color="auto"/>
        <w:bottom w:val="none" w:sz="0" w:space="0" w:color="auto"/>
        <w:right w:val="none" w:sz="0" w:space="0" w:color="auto"/>
      </w:divBdr>
      <w:divsChild>
        <w:div w:id="960301412">
          <w:marLeft w:val="0"/>
          <w:marRight w:val="0"/>
          <w:marTop w:val="0"/>
          <w:marBottom w:val="0"/>
          <w:divBdr>
            <w:top w:val="none" w:sz="0" w:space="0" w:color="auto"/>
            <w:left w:val="none" w:sz="0" w:space="0" w:color="auto"/>
            <w:bottom w:val="none" w:sz="0" w:space="0" w:color="auto"/>
            <w:right w:val="none" w:sz="0" w:space="0" w:color="auto"/>
          </w:divBdr>
          <w:divsChild>
            <w:div w:id="1965849356">
              <w:marLeft w:val="0"/>
              <w:marRight w:val="0"/>
              <w:marTop w:val="0"/>
              <w:marBottom w:val="0"/>
              <w:divBdr>
                <w:top w:val="none" w:sz="0" w:space="0" w:color="auto"/>
                <w:left w:val="none" w:sz="0" w:space="0" w:color="auto"/>
                <w:bottom w:val="none" w:sz="0" w:space="0" w:color="auto"/>
                <w:right w:val="none" w:sz="0" w:space="0" w:color="auto"/>
              </w:divBdr>
              <w:divsChild>
                <w:div w:id="20187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5953">
      <w:bodyDiv w:val="1"/>
      <w:marLeft w:val="0"/>
      <w:marRight w:val="0"/>
      <w:marTop w:val="0"/>
      <w:marBottom w:val="0"/>
      <w:divBdr>
        <w:top w:val="none" w:sz="0" w:space="0" w:color="auto"/>
        <w:left w:val="none" w:sz="0" w:space="0" w:color="auto"/>
        <w:bottom w:val="none" w:sz="0" w:space="0" w:color="auto"/>
        <w:right w:val="none" w:sz="0" w:space="0" w:color="auto"/>
      </w:divBdr>
      <w:divsChild>
        <w:div w:id="860313744">
          <w:marLeft w:val="0"/>
          <w:marRight w:val="0"/>
          <w:marTop w:val="0"/>
          <w:marBottom w:val="0"/>
          <w:divBdr>
            <w:top w:val="none" w:sz="0" w:space="0" w:color="auto"/>
            <w:left w:val="none" w:sz="0" w:space="0" w:color="auto"/>
            <w:bottom w:val="none" w:sz="0" w:space="0" w:color="auto"/>
            <w:right w:val="none" w:sz="0" w:space="0" w:color="auto"/>
          </w:divBdr>
          <w:divsChild>
            <w:div w:id="910389040">
              <w:marLeft w:val="0"/>
              <w:marRight w:val="0"/>
              <w:marTop w:val="0"/>
              <w:marBottom w:val="0"/>
              <w:divBdr>
                <w:top w:val="none" w:sz="0" w:space="0" w:color="auto"/>
                <w:left w:val="none" w:sz="0" w:space="0" w:color="auto"/>
                <w:bottom w:val="none" w:sz="0" w:space="0" w:color="auto"/>
                <w:right w:val="none" w:sz="0" w:space="0" w:color="auto"/>
              </w:divBdr>
              <w:divsChild>
                <w:div w:id="18063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3102">
      <w:bodyDiv w:val="1"/>
      <w:marLeft w:val="0"/>
      <w:marRight w:val="0"/>
      <w:marTop w:val="0"/>
      <w:marBottom w:val="0"/>
      <w:divBdr>
        <w:top w:val="none" w:sz="0" w:space="0" w:color="auto"/>
        <w:left w:val="none" w:sz="0" w:space="0" w:color="auto"/>
        <w:bottom w:val="none" w:sz="0" w:space="0" w:color="auto"/>
        <w:right w:val="none" w:sz="0" w:space="0" w:color="auto"/>
      </w:divBdr>
      <w:divsChild>
        <w:div w:id="1343699704">
          <w:marLeft w:val="0"/>
          <w:marRight w:val="0"/>
          <w:marTop w:val="0"/>
          <w:marBottom w:val="0"/>
          <w:divBdr>
            <w:top w:val="none" w:sz="0" w:space="0" w:color="auto"/>
            <w:left w:val="none" w:sz="0" w:space="0" w:color="auto"/>
            <w:bottom w:val="none" w:sz="0" w:space="0" w:color="auto"/>
            <w:right w:val="none" w:sz="0" w:space="0" w:color="auto"/>
          </w:divBdr>
          <w:divsChild>
            <w:div w:id="1226064602">
              <w:marLeft w:val="0"/>
              <w:marRight w:val="0"/>
              <w:marTop w:val="0"/>
              <w:marBottom w:val="0"/>
              <w:divBdr>
                <w:top w:val="none" w:sz="0" w:space="0" w:color="auto"/>
                <w:left w:val="none" w:sz="0" w:space="0" w:color="auto"/>
                <w:bottom w:val="none" w:sz="0" w:space="0" w:color="auto"/>
                <w:right w:val="none" w:sz="0" w:space="0" w:color="auto"/>
              </w:divBdr>
              <w:divsChild>
                <w:div w:id="1709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6349">
      <w:bodyDiv w:val="1"/>
      <w:marLeft w:val="0"/>
      <w:marRight w:val="0"/>
      <w:marTop w:val="0"/>
      <w:marBottom w:val="0"/>
      <w:divBdr>
        <w:top w:val="none" w:sz="0" w:space="0" w:color="auto"/>
        <w:left w:val="none" w:sz="0" w:space="0" w:color="auto"/>
        <w:bottom w:val="none" w:sz="0" w:space="0" w:color="auto"/>
        <w:right w:val="none" w:sz="0" w:space="0" w:color="auto"/>
      </w:divBdr>
      <w:divsChild>
        <w:div w:id="1065951770">
          <w:marLeft w:val="0"/>
          <w:marRight w:val="0"/>
          <w:marTop w:val="0"/>
          <w:marBottom w:val="0"/>
          <w:divBdr>
            <w:top w:val="none" w:sz="0" w:space="0" w:color="auto"/>
            <w:left w:val="none" w:sz="0" w:space="0" w:color="auto"/>
            <w:bottom w:val="none" w:sz="0" w:space="0" w:color="auto"/>
            <w:right w:val="none" w:sz="0" w:space="0" w:color="auto"/>
          </w:divBdr>
          <w:divsChild>
            <w:div w:id="2016376725">
              <w:marLeft w:val="0"/>
              <w:marRight w:val="0"/>
              <w:marTop w:val="0"/>
              <w:marBottom w:val="0"/>
              <w:divBdr>
                <w:top w:val="none" w:sz="0" w:space="0" w:color="auto"/>
                <w:left w:val="none" w:sz="0" w:space="0" w:color="auto"/>
                <w:bottom w:val="none" w:sz="0" w:space="0" w:color="auto"/>
                <w:right w:val="none" w:sz="0" w:space="0" w:color="auto"/>
              </w:divBdr>
              <w:divsChild>
                <w:div w:id="17873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463">
      <w:bodyDiv w:val="1"/>
      <w:marLeft w:val="0"/>
      <w:marRight w:val="0"/>
      <w:marTop w:val="0"/>
      <w:marBottom w:val="0"/>
      <w:divBdr>
        <w:top w:val="none" w:sz="0" w:space="0" w:color="auto"/>
        <w:left w:val="none" w:sz="0" w:space="0" w:color="auto"/>
        <w:bottom w:val="none" w:sz="0" w:space="0" w:color="auto"/>
        <w:right w:val="none" w:sz="0" w:space="0" w:color="auto"/>
      </w:divBdr>
      <w:divsChild>
        <w:div w:id="884172452">
          <w:marLeft w:val="0"/>
          <w:marRight w:val="0"/>
          <w:marTop w:val="0"/>
          <w:marBottom w:val="0"/>
          <w:divBdr>
            <w:top w:val="none" w:sz="0" w:space="0" w:color="auto"/>
            <w:left w:val="none" w:sz="0" w:space="0" w:color="auto"/>
            <w:bottom w:val="none" w:sz="0" w:space="0" w:color="auto"/>
            <w:right w:val="none" w:sz="0" w:space="0" w:color="auto"/>
          </w:divBdr>
          <w:divsChild>
            <w:div w:id="824592540">
              <w:marLeft w:val="0"/>
              <w:marRight w:val="0"/>
              <w:marTop w:val="0"/>
              <w:marBottom w:val="0"/>
              <w:divBdr>
                <w:top w:val="none" w:sz="0" w:space="0" w:color="auto"/>
                <w:left w:val="none" w:sz="0" w:space="0" w:color="auto"/>
                <w:bottom w:val="none" w:sz="0" w:space="0" w:color="auto"/>
                <w:right w:val="none" w:sz="0" w:space="0" w:color="auto"/>
              </w:divBdr>
              <w:divsChild>
                <w:div w:id="19389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520">
      <w:bodyDiv w:val="1"/>
      <w:marLeft w:val="0"/>
      <w:marRight w:val="0"/>
      <w:marTop w:val="0"/>
      <w:marBottom w:val="0"/>
      <w:divBdr>
        <w:top w:val="none" w:sz="0" w:space="0" w:color="auto"/>
        <w:left w:val="none" w:sz="0" w:space="0" w:color="auto"/>
        <w:bottom w:val="none" w:sz="0" w:space="0" w:color="auto"/>
        <w:right w:val="none" w:sz="0" w:space="0" w:color="auto"/>
      </w:divBdr>
      <w:divsChild>
        <w:div w:id="1797139088">
          <w:marLeft w:val="0"/>
          <w:marRight w:val="0"/>
          <w:marTop w:val="0"/>
          <w:marBottom w:val="0"/>
          <w:divBdr>
            <w:top w:val="none" w:sz="0" w:space="0" w:color="auto"/>
            <w:left w:val="none" w:sz="0" w:space="0" w:color="auto"/>
            <w:bottom w:val="none" w:sz="0" w:space="0" w:color="auto"/>
            <w:right w:val="none" w:sz="0" w:space="0" w:color="auto"/>
          </w:divBdr>
          <w:divsChild>
            <w:div w:id="394816335">
              <w:marLeft w:val="0"/>
              <w:marRight w:val="0"/>
              <w:marTop w:val="0"/>
              <w:marBottom w:val="0"/>
              <w:divBdr>
                <w:top w:val="none" w:sz="0" w:space="0" w:color="auto"/>
                <w:left w:val="none" w:sz="0" w:space="0" w:color="auto"/>
                <w:bottom w:val="none" w:sz="0" w:space="0" w:color="auto"/>
                <w:right w:val="none" w:sz="0" w:space="0" w:color="auto"/>
              </w:divBdr>
              <w:divsChild>
                <w:div w:id="7482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8808">
      <w:bodyDiv w:val="1"/>
      <w:marLeft w:val="0"/>
      <w:marRight w:val="0"/>
      <w:marTop w:val="0"/>
      <w:marBottom w:val="0"/>
      <w:divBdr>
        <w:top w:val="none" w:sz="0" w:space="0" w:color="auto"/>
        <w:left w:val="none" w:sz="0" w:space="0" w:color="auto"/>
        <w:bottom w:val="none" w:sz="0" w:space="0" w:color="auto"/>
        <w:right w:val="none" w:sz="0" w:space="0" w:color="auto"/>
      </w:divBdr>
      <w:divsChild>
        <w:div w:id="2115125332">
          <w:marLeft w:val="0"/>
          <w:marRight w:val="0"/>
          <w:marTop w:val="0"/>
          <w:marBottom w:val="0"/>
          <w:divBdr>
            <w:top w:val="none" w:sz="0" w:space="0" w:color="auto"/>
            <w:left w:val="none" w:sz="0" w:space="0" w:color="auto"/>
            <w:bottom w:val="none" w:sz="0" w:space="0" w:color="auto"/>
            <w:right w:val="none" w:sz="0" w:space="0" w:color="auto"/>
          </w:divBdr>
          <w:divsChild>
            <w:div w:id="13851501">
              <w:marLeft w:val="0"/>
              <w:marRight w:val="0"/>
              <w:marTop w:val="0"/>
              <w:marBottom w:val="0"/>
              <w:divBdr>
                <w:top w:val="none" w:sz="0" w:space="0" w:color="auto"/>
                <w:left w:val="none" w:sz="0" w:space="0" w:color="auto"/>
                <w:bottom w:val="none" w:sz="0" w:space="0" w:color="auto"/>
                <w:right w:val="none" w:sz="0" w:space="0" w:color="auto"/>
              </w:divBdr>
              <w:divsChild>
                <w:div w:id="1334527252">
                  <w:marLeft w:val="0"/>
                  <w:marRight w:val="0"/>
                  <w:marTop w:val="0"/>
                  <w:marBottom w:val="0"/>
                  <w:divBdr>
                    <w:top w:val="none" w:sz="0" w:space="0" w:color="auto"/>
                    <w:left w:val="none" w:sz="0" w:space="0" w:color="auto"/>
                    <w:bottom w:val="none" w:sz="0" w:space="0" w:color="auto"/>
                    <w:right w:val="none" w:sz="0" w:space="0" w:color="auto"/>
                  </w:divBdr>
                </w:div>
                <w:div w:id="1068768842">
                  <w:marLeft w:val="0"/>
                  <w:marRight w:val="0"/>
                  <w:marTop w:val="0"/>
                  <w:marBottom w:val="0"/>
                  <w:divBdr>
                    <w:top w:val="none" w:sz="0" w:space="0" w:color="auto"/>
                    <w:left w:val="none" w:sz="0" w:space="0" w:color="auto"/>
                    <w:bottom w:val="none" w:sz="0" w:space="0" w:color="auto"/>
                    <w:right w:val="none" w:sz="0" w:space="0" w:color="auto"/>
                  </w:divBdr>
                  <w:divsChild>
                    <w:div w:id="1337657636">
                      <w:marLeft w:val="0"/>
                      <w:marRight w:val="0"/>
                      <w:marTop w:val="0"/>
                      <w:marBottom w:val="0"/>
                      <w:divBdr>
                        <w:top w:val="none" w:sz="0" w:space="0" w:color="auto"/>
                        <w:left w:val="none" w:sz="0" w:space="0" w:color="auto"/>
                        <w:bottom w:val="none" w:sz="0" w:space="0" w:color="auto"/>
                        <w:right w:val="none" w:sz="0" w:space="0" w:color="auto"/>
                      </w:divBdr>
                      <w:divsChild>
                        <w:div w:id="6224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34811">
      <w:bodyDiv w:val="1"/>
      <w:marLeft w:val="0"/>
      <w:marRight w:val="0"/>
      <w:marTop w:val="0"/>
      <w:marBottom w:val="0"/>
      <w:divBdr>
        <w:top w:val="none" w:sz="0" w:space="0" w:color="auto"/>
        <w:left w:val="none" w:sz="0" w:space="0" w:color="auto"/>
        <w:bottom w:val="none" w:sz="0" w:space="0" w:color="auto"/>
        <w:right w:val="none" w:sz="0" w:space="0" w:color="auto"/>
      </w:divBdr>
    </w:div>
    <w:div w:id="1671255738">
      <w:bodyDiv w:val="1"/>
      <w:marLeft w:val="0"/>
      <w:marRight w:val="0"/>
      <w:marTop w:val="0"/>
      <w:marBottom w:val="0"/>
      <w:divBdr>
        <w:top w:val="none" w:sz="0" w:space="0" w:color="auto"/>
        <w:left w:val="none" w:sz="0" w:space="0" w:color="auto"/>
        <w:bottom w:val="none" w:sz="0" w:space="0" w:color="auto"/>
        <w:right w:val="none" w:sz="0" w:space="0" w:color="auto"/>
      </w:divBdr>
      <w:divsChild>
        <w:div w:id="457992038">
          <w:marLeft w:val="0"/>
          <w:marRight w:val="0"/>
          <w:marTop w:val="0"/>
          <w:marBottom w:val="0"/>
          <w:divBdr>
            <w:top w:val="none" w:sz="0" w:space="0" w:color="auto"/>
            <w:left w:val="none" w:sz="0" w:space="0" w:color="auto"/>
            <w:bottom w:val="none" w:sz="0" w:space="0" w:color="auto"/>
            <w:right w:val="none" w:sz="0" w:space="0" w:color="auto"/>
          </w:divBdr>
          <w:divsChild>
            <w:div w:id="578055923">
              <w:marLeft w:val="0"/>
              <w:marRight w:val="0"/>
              <w:marTop w:val="0"/>
              <w:marBottom w:val="0"/>
              <w:divBdr>
                <w:top w:val="none" w:sz="0" w:space="0" w:color="auto"/>
                <w:left w:val="none" w:sz="0" w:space="0" w:color="auto"/>
                <w:bottom w:val="none" w:sz="0" w:space="0" w:color="auto"/>
                <w:right w:val="none" w:sz="0" w:space="0" w:color="auto"/>
              </w:divBdr>
              <w:divsChild>
                <w:div w:id="7773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4614">
      <w:bodyDiv w:val="1"/>
      <w:marLeft w:val="0"/>
      <w:marRight w:val="0"/>
      <w:marTop w:val="0"/>
      <w:marBottom w:val="0"/>
      <w:divBdr>
        <w:top w:val="none" w:sz="0" w:space="0" w:color="auto"/>
        <w:left w:val="none" w:sz="0" w:space="0" w:color="auto"/>
        <w:bottom w:val="none" w:sz="0" w:space="0" w:color="auto"/>
        <w:right w:val="none" w:sz="0" w:space="0" w:color="auto"/>
      </w:divBdr>
      <w:divsChild>
        <w:div w:id="1477065124">
          <w:marLeft w:val="0"/>
          <w:marRight w:val="0"/>
          <w:marTop w:val="0"/>
          <w:marBottom w:val="0"/>
          <w:divBdr>
            <w:top w:val="none" w:sz="0" w:space="0" w:color="auto"/>
            <w:left w:val="none" w:sz="0" w:space="0" w:color="auto"/>
            <w:bottom w:val="none" w:sz="0" w:space="0" w:color="auto"/>
            <w:right w:val="none" w:sz="0" w:space="0" w:color="auto"/>
          </w:divBdr>
          <w:divsChild>
            <w:div w:id="829056226">
              <w:marLeft w:val="0"/>
              <w:marRight w:val="0"/>
              <w:marTop w:val="0"/>
              <w:marBottom w:val="0"/>
              <w:divBdr>
                <w:top w:val="none" w:sz="0" w:space="0" w:color="auto"/>
                <w:left w:val="none" w:sz="0" w:space="0" w:color="auto"/>
                <w:bottom w:val="none" w:sz="0" w:space="0" w:color="auto"/>
                <w:right w:val="none" w:sz="0" w:space="0" w:color="auto"/>
              </w:divBdr>
              <w:divsChild>
                <w:div w:id="9707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0421">
      <w:bodyDiv w:val="1"/>
      <w:marLeft w:val="0"/>
      <w:marRight w:val="0"/>
      <w:marTop w:val="0"/>
      <w:marBottom w:val="0"/>
      <w:divBdr>
        <w:top w:val="none" w:sz="0" w:space="0" w:color="auto"/>
        <w:left w:val="none" w:sz="0" w:space="0" w:color="auto"/>
        <w:bottom w:val="none" w:sz="0" w:space="0" w:color="auto"/>
        <w:right w:val="none" w:sz="0" w:space="0" w:color="auto"/>
      </w:divBdr>
      <w:divsChild>
        <w:div w:id="561020095">
          <w:marLeft w:val="0"/>
          <w:marRight w:val="0"/>
          <w:marTop w:val="0"/>
          <w:marBottom w:val="0"/>
          <w:divBdr>
            <w:top w:val="none" w:sz="0" w:space="0" w:color="auto"/>
            <w:left w:val="none" w:sz="0" w:space="0" w:color="auto"/>
            <w:bottom w:val="none" w:sz="0" w:space="0" w:color="auto"/>
            <w:right w:val="none" w:sz="0" w:space="0" w:color="auto"/>
          </w:divBdr>
          <w:divsChild>
            <w:div w:id="662464603">
              <w:marLeft w:val="0"/>
              <w:marRight w:val="0"/>
              <w:marTop w:val="0"/>
              <w:marBottom w:val="0"/>
              <w:divBdr>
                <w:top w:val="none" w:sz="0" w:space="0" w:color="auto"/>
                <w:left w:val="none" w:sz="0" w:space="0" w:color="auto"/>
                <w:bottom w:val="none" w:sz="0" w:space="0" w:color="auto"/>
                <w:right w:val="none" w:sz="0" w:space="0" w:color="auto"/>
              </w:divBdr>
              <w:divsChild>
                <w:div w:id="1871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696">
      <w:bodyDiv w:val="1"/>
      <w:marLeft w:val="0"/>
      <w:marRight w:val="0"/>
      <w:marTop w:val="0"/>
      <w:marBottom w:val="0"/>
      <w:divBdr>
        <w:top w:val="none" w:sz="0" w:space="0" w:color="auto"/>
        <w:left w:val="none" w:sz="0" w:space="0" w:color="auto"/>
        <w:bottom w:val="none" w:sz="0" w:space="0" w:color="auto"/>
        <w:right w:val="none" w:sz="0" w:space="0" w:color="auto"/>
      </w:divBdr>
      <w:divsChild>
        <w:div w:id="679746811">
          <w:marLeft w:val="0"/>
          <w:marRight w:val="0"/>
          <w:marTop w:val="0"/>
          <w:marBottom w:val="0"/>
          <w:divBdr>
            <w:top w:val="none" w:sz="0" w:space="0" w:color="auto"/>
            <w:left w:val="none" w:sz="0" w:space="0" w:color="auto"/>
            <w:bottom w:val="none" w:sz="0" w:space="0" w:color="auto"/>
            <w:right w:val="none" w:sz="0" w:space="0" w:color="auto"/>
          </w:divBdr>
          <w:divsChild>
            <w:div w:id="9130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6355">
      <w:bodyDiv w:val="1"/>
      <w:marLeft w:val="0"/>
      <w:marRight w:val="0"/>
      <w:marTop w:val="0"/>
      <w:marBottom w:val="0"/>
      <w:divBdr>
        <w:top w:val="none" w:sz="0" w:space="0" w:color="auto"/>
        <w:left w:val="none" w:sz="0" w:space="0" w:color="auto"/>
        <w:bottom w:val="none" w:sz="0" w:space="0" w:color="auto"/>
        <w:right w:val="none" w:sz="0" w:space="0" w:color="auto"/>
      </w:divBdr>
      <w:divsChild>
        <w:div w:id="820117887">
          <w:marLeft w:val="0"/>
          <w:marRight w:val="0"/>
          <w:marTop w:val="0"/>
          <w:marBottom w:val="0"/>
          <w:divBdr>
            <w:top w:val="none" w:sz="0" w:space="0" w:color="auto"/>
            <w:left w:val="none" w:sz="0" w:space="0" w:color="auto"/>
            <w:bottom w:val="none" w:sz="0" w:space="0" w:color="auto"/>
            <w:right w:val="none" w:sz="0" w:space="0" w:color="auto"/>
          </w:divBdr>
          <w:divsChild>
            <w:div w:id="115485737">
              <w:marLeft w:val="0"/>
              <w:marRight w:val="0"/>
              <w:marTop w:val="0"/>
              <w:marBottom w:val="0"/>
              <w:divBdr>
                <w:top w:val="none" w:sz="0" w:space="0" w:color="auto"/>
                <w:left w:val="none" w:sz="0" w:space="0" w:color="auto"/>
                <w:bottom w:val="none" w:sz="0" w:space="0" w:color="auto"/>
                <w:right w:val="none" w:sz="0" w:space="0" w:color="auto"/>
              </w:divBdr>
              <w:divsChild>
                <w:div w:id="14144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8503">
      <w:bodyDiv w:val="1"/>
      <w:marLeft w:val="0"/>
      <w:marRight w:val="0"/>
      <w:marTop w:val="0"/>
      <w:marBottom w:val="0"/>
      <w:divBdr>
        <w:top w:val="none" w:sz="0" w:space="0" w:color="auto"/>
        <w:left w:val="none" w:sz="0" w:space="0" w:color="auto"/>
        <w:bottom w:val="none" w:sz="0" w:space="0" w:color="auto"/>
        <w:right w:val="none" w:sz="0" w:space="0" w:color="auto"/>
      </w:divBdr>
      <w:divsChild>
        <w:div w:id="1391153277">
          <w:marLeft w:val="0"/>
          <w:marRight w:val="0"/>
          <w:marTop w:val="0"/>
          <w:marBottom w:val="0"/>
          <w:divBdr>
            <w:top w:val="none" w:sz="0" w:space="0" w:color="auto"/>
            <w:left w:val="none" w:sz="0" w:space="0" w:color="auto"/>
            <w:bottom w:val="none" w:sz="0" w:space="0" w:color="auto"/>
            <w:right w:val="none" w:sz="0" w:space="0" w:color="auto"/>
          </w:divBdr>
          <w:divsChild>
            <w:div w:id="202136985">
              <w:marLeft w:val="0"/>
              <w:marRight w:val="0"/>
              <w:marTop w:val="0"/>
              <w:marBottom w:val="0"/>
              <w:divBdr>
                <w:top w:val="none" w:sz="0" w:space="0" w:color="auto"/>
                <w:left w:val="none" w:sz="0" w:space="0" w:color="auto"/>
                <w:bottom w:val="none" w:sz="0" w:space="0" w:color="auto"/>
                <w:right w:val="none" w:sz="0" w:space="0" w:color="auto"/>
              </w:divBdr>
              <w:divsChild>
                <w:div w:id="3625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6240-225A-43D3-9E01-9FEF555E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62</cp:revision>
  <dcterms:created xsi:type="dcterms:W3CDTF">2022-10-05T17:23:00Z</dcterms:created>
  <dcterms:modified xsi:type="dcterms:W3CDTF">2022-11-22T04:48:00Z</dcterms:modified>
</cp:coreProperties>
</file>