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54836A" w14:textId="5DB93359" w:rsidR="00E11581" w:rsidRPr="009E1CDC" w:rsidRDefault="0094224A" w:rsidP="0094224A">
      <w:pPr>
        <w:spacing w:line="240" w:lineRule="auto"/>
        <w:rPr>
          <w:rFonts w:ascii="Times New Roman" w:hAnsi="Times New Roman" w:cs="Times New Roman"/>
          <w:b/>
          <w:bCs/>
          <w:sz w:val="28"/>
          <w:szCs w:val="28"/>
        </w:rPr>
      </w:pPr>
      <w:r w:rsidRPr="009E1CDC">
        <w:rPr>
          <w:rFonts w:ascii="Times New Roman" w:hAnsi="Times New Roman" w:cs="Times New Roman"/>
          <w:b/>
          <w:bCs/>
          <w:sz w:val="28"/>
          <w:szCs w:val="28"/>
        </w:rPr>
        <w:t>4.</w:t>
      </w:r>
      <w:r w:rsidR="00EB038C" w:rsidRPr="009E1CDC">
        <w:rPr>
          <w:rFonts w:ascii="Times New Roman" w:hAnsi="Times New Roman" w:cs="Times New Roman"/>
          <w:b/>
          <w:bCs/>
          <w:sz w:val="28"/>
          <w:szCs w:val="28"/>
        </w:rPr>
        <w:t>11</w:t>
      </w:r>
      <w:r w:rsidR="0032043A" w:rsidRPr="009E1CDC">
        <w:rPr>
          <w:rFonts w:ascii="Times New Roman" w:hAnsi="Times New Roman" w:cs="Times New Roman"/>
          <w:b/>
          <w:bCs/>
          <w:sz w:val="28"/>
          <w:szCs w:val="28"/>
        </w:rPr>
        <w:t xml:space="preserve">. </w:t>
      </w:r>
      <w:r w:rsidR="00E11581" w:rsidRPr="009E1CDC">
        <w:rPr>
          <w:rFonts w:ascii="Times New Roman" w:hAnsi="Times New Roman" w:cs="Times New Roman"/>
          <w:b/>
          <w:bCs/>
          <w:sz w:val="28"/>
          <w:szCs w:val="28"/>
        </w:rPr>
        <w:t xml:space="preserve">Character Evidence </w:t>
      </w:r>
      <w:r w:rsidR="00363A96" w:rsidRPr="009E1CDC">
        <w:rPr>
          <w:rFonts w:ascii="Times New Roman" w:hAnsi="Times New Roman" w:cs="Times New Roman"/>
          <w:b/>
          <w:bCs/>
          <w:sz w:val="28"/>
          <w:szCs w:val="28"/>
        </w:rPr>
        <w:t>Re:</w:t>
      </w:r>
      <w:r w:rsidR="00E11581" w:rsidRPr="009E1CDC">
        <w:rPr>
          <w:rFonts w:ascii="Times New Roman" w:hAnsi="Times New Roman" w:cs="Times New Roman"/>
          <w:b/>
          <w:bCs/>
          <w:sz w:val="28"/>
          <w:szCs w:val="28"/>
        </w:rPr>
        <w:t xml:space="preserve"> </w:t>
      </w:r>
      <w:r w:rsidRPr="009E1CDC">
        <w:rPr>
          <w:rFonts w:ascii="Times New Roman" w:hAnsi="Times New Roman" w:cs="Times New Roman"/>
          <w:b/>
          <w:bCs/>
          <w:sz w:val="28"/>
          <w:szCs w:val="28"/>
        </w:rPr>
        <w:t>Justification</w:t>
      </w:r>
      <w:r w:rsidR="00E11581" w:rsidRPr="009E1CDC">
        <w:rPr>
          <w:rFonts w:ascii="Times New Roman" w:hAnsi="Times New Roman" w:cs="Times New Roman"/>
          <w:b/>
          <w:bCs/>
          <w:sz w:val="28"/>
          <w:szCs w:val="28"/>
        </w:rPr>
        <w:t xml:space="preserve"> Defense</w:t>
      </w:r>
    </w:p>
    <w:p w14:paraId="77A93AC6" w14:textId="405905C3" w:rsidR="0094224A" w:rsidRPr="007E36C0" w:rsidRDefault="0094224A" w:rsidP="00223757">
      <w:pPr>
        <w:pStyle w:val="L11-1"/>
        <w:widowControl/>
        <w:tabs>
          <w:tab w:val="left" w:pos="2879"/>
          <w:tab w:val="left" w:pos="3599"/>
          <w:tab w:val="left" w:pos="4319"/>
          <w:tab w:val="left" w:pos="5039"/>
          <w:tab w:val="left" w:pos="5759"/>
          <w:tab w:val="left" w:pos="6479"/>
        </w:tabs>
        <w:ind w:left="720" w:right="720" w:firstLine="0"/>
        <w:rPr>
          <w:b/>
          <w:bCs/>
          <w:sz w:val="28"/>
          <w:szCs w:val="28"/>
        </w:rPr>
      </w:pPr>
      <w:r w:rsidRPr="007E36C0">
        <w:rPr>
          <w:b/>
          <w:bCs/>
          <w:sz w:val="28"/>
          <w:szCs w:val="28"/>
        </w:rPr>
        <w:t>In a criminal proceeding where the defendant interposes a defense of justification based on the defense of self or another:</w:t>
      </w:r>
    </w:p>
    <w:p w14:paraId="3240C121" w14:textId="77777777" w:rsidR="0094224A" w:rsidRPr="007E36C0" w:rsidRDefault="0094224A" w:rsidP="0094224A">
      <w:pPr>
        <w:pStyle w:val="L11-1"/>
        <w:widowControl/>
        <w:tabs>
          <w:tab w:val="left" w:pos="2879"/>
          <w:tab w:val="left" w:pos="3599"/>
          <w:tab w:val="left" w:pos="4319"/>
          <w:tab w:val="left" w:pos="5039"/>
          <w:tab w:val="left" w:pos="5759"/>
          <w:tab w:val="left" w:pos="6479"/>
        </w:tabs>
        <w:ind w:left="1872" w:right="720" w:firstLine="0"/>
        <w:rPr>
          <w:b/>
          <w:bCs/>
          <w:sz w:val="28"/>
          <w:szCs w:val="28"/>
        </w:rPr>
      </w:pPr>
    </w:p>
    <w:p w14:paraId="793DEAEC" w14:textId="0843012D" w:rsidR="0094224A" w:rsidRPr="007E36C0" w:rsidRDefault="0094224A" w:rsidP="0094224A">
      <w:pPr>
        <w:pStyle w:val="L11-1"/>
        <w:widowControl/>
        <w:tabs>
          <w:tab w:val="left" w:pos="2879"/>
          <w:tab w:val="left" w:pos="3599"/>
          <w:tab w:val="left" w:pos="4319"/>
          <w:tab w:val="left" w:pos="5039"/>
          <w:tab w:val="left" w:pos="5759"/>
          <w:tab w:val="left" w:pos="6479"/>
        </w:tabs>
        <w:ind w:left="1872" w:right="720" w:firstLine="0"/>
        <w:rPr>
          <w:b/>
          <w:bCs/>
          <w:sz w:val="28"/>
          <w:szCs w:val="28"/>
        </w:rPr>
      </w:pPr>
      <w:r w:rsidRPr="007E36C0">
        <w:rPr>
          <w:b/>
          <w:bCs/>
          <w:sz w:val="28"/>
          <w:szCs w:val="28"/>
        </w:rPr>
        <w:t>(</w:t>
      </w:r>
      <w:r w:rsidR="00223757">
        <w:rPr>
          <w:b/>
          <w:bCs/>
          <w:sz w:val="28"/>
          <w:szCs w:val="28"/>
        </w:rPr>
        <w:t>1</w:t>
      </w:r>
      <w:r w:rsidRPr="007E36C0">
        <w:rPr>
          <w:b/>
          <w:bCs/>
          <w:sz w:val="28"/>
          <w:szCs w:val="28"/>
        </w:rPr>
        <w:t xml:space="preserve">) evidence </w:t>
      </w:r>
      <w:bookmarkStart w:id="0" w:name="_Hlk114495712"/>
      <w:r w:rsidRPr="007E36C0">
        <w:rPr>
          <w:b/>
          <w:bCs/>
          <w:sz w:val="28"/>
          <w:szCs w:val="28"/>
        </w:rPr>
        <w:t xml:space="preserve">of the </w:t>
      </w:r>
      <w:r w:rsidRPr="007E36C0">
        <w:rPr>
          <w:b/>
          <w:bCs/>
          <w:sz w:val="28"/>
          <w:szCs w:val="28"/>
          <w:u w:val="single"/>
        </w:rPr>
        <w:t xml:space="preserve">victim’s </w:t>
      </w:r>
      <w:r w:rsidRPr="0006749C">
        <w:rPr>
          <w:b/>
          <w:bCs/>
          <w:sz w:val="28"/>
          <w:szCs w:val="28"/>
          <w:u w:val="single"/>
        </w:rPr>
        <w:t>reputation for</w:t>
      </w:r>
      <w:r w:rsidRPr="007E36C0">
        <w:rPr>
          <w:b/>
          <w:bCs/>
          <w:sz w:val="28"/>
          <w:szCs w:val="28"/>
        </w:rPr>
        <w:t xml:space="preserve"> violence </w:t>
      </w:r>
      <w:bookmarkEnd w:id="0"/>
      <w:r w:rsidRPr="007E36C0">
        <w:rPr>
          <w:b/>
          <w:bCs/>
          <w:sz w:val="28"/>
          <w:szCs w:val="28"/>
        </w:rPr>
        <w:t>and prior specific acts of violence by the victim against the defendant or others, if known to the defendant and reasonably related to the crime charged, is admissible on the issue of the defendant’s belief of the necessity of defending himself or herself or another person from impending harm;</w:t>
      </w:r>
    </w:p>
    <w:p w14:paraId="576A5B11" w14:textId="77777777" w:rsidR="0094224A" w:rsidRPr="007E36C0" w:rsidRDefault="0094224A" w:rsidP="0094224A">
      <w:pPr>
        <w:pStyle w:val="L11-1"/>
        <w:widowControl/>
        <w:tabs>
          <w:tab w:val="left" w:pos="2879"/>
          <w:tab w:val="left" w:pos="3599"/>
          <w:tab w:val="left" w:pos="4319"/>
          <w:tab w:val="left" w:pos="5039"/>
          <w:tab w:val="left" w:pos="5759"/>
          <w:tab w:val="left" w:pos="6479"/>
        </w:tabs>
        <w:ind w:left="0" w:right="720" w:firstLine="0"/>
        <w:rPr>
          <w:b/>
          <w:bCs/>
          <w:sz w:val="28"/>
          <w:szCs w:val="28"/>
        </w:rPr>
      </w:pPr>
    </w:p>
    <w:p w14:paraId="2634746B" w14:textId="5B6064E7" w:rsidR="0094224A" w:rsidRPr="007E36C0" w:rsidRDefault="0094224A" w:rsidP="0094224A">
      <w:pPr>
        <w:pStyle w:val="L11-1"/>
        <w:widowControl/>
        <w:tabs>
          <w:tab w:val="left" w:pos="2879"/>
          <w:tab w:val="left" w:pos="3599"/>
          <w:tab w:val="left" w:pos="4319"/>
          <w:tab w:val="left" w:pos="5039"/>
          <w:tab w:val="left" w:pos="5759"/>
          <w:tab w:val="left" w:pos="6479"/>
        </w:tabs>
        <w:ind w:left="1872" w:right="720" w:firstLine="0"/>
        <w:rPr>
          <w:b/>
          <w:bCs/>
          <w:sz w:val="28"/>
          <w:szCs w:val="28"/>
        </w:rPr>
      </w:pPr>
      <w:r w:rsidRPr="007E36C0">
        <w:rPr>
          <w:b/>
          <w:bCs/>
          <w:sz w:val="28"/>
          <w:szCs w:val="28"/>
        </w:rPr>
        <w:t>(</w:t>
      </w:r>
      <w:r w:rsidR="00223757">
        <w:rPr>
          <w:b/>
          <w:bCs/>
          <w:sz w:val="28"/>
          <w:szCs w:val="28"/>
        </w:rPr>
        <w:t>2</w:t>
      </w:r>
      <w:r w:rsidRPr="007E36C0">
        <w:rPr>
          <w:b/>
          <w:bCs/>
          <w:sz w:val="28"/>
          <w:szCs w:val="28"/>
        </w:rPr>
        <w:t xml:space="preserve">) evidence of the </w:t>
      </w:r>
      <w:r w:rsidRPr="007E36C0">
        <w:rPr>
          <w:b/>
          <w:bCs/>
          <w:sz w:val="28"/>
          <w:szCs w:val="28"/>
          <w:u w:val="single"/>
        </w:rPr>
        <w:t>victim’s prior threats</w:t>
      </w:r>
      <w:r w:rsidRPr="007E36C0">
        <w:rPr>
          <w:b/>
          <w:bCs/>
          <w:sz w:val="28"/>
          <w:szCs w:val="28"/>
        </w:rPr>
        <w:t xml:space="preserve"> against the defendant, whether known to the defendant or not, is admissible to prove that the victim was the initial aggressor;</w:t>
      </w:r>
      <w:bookmarkStart w:id="1" w:name="_Hlk114498132"/>
    </w:p>
    <w:p w14:paraId="4562ED29" w14:textId="77777777" w:rsidR="0094224A" w:rsidRPr="007E36C0" w:rsidRDefault="0094224A" w:rsidP="0094224A">
      <w:pPr>
        <w:pStyle w:val="L11-1"/>
        <w:widowControl/>
        <w:tabs>
          <w:tab w:val="left" w:pos="2879"/>
          <w:tab w:val="left" w:pos="3599"/>
          <w:tab w:val="left" w:pos="4319"/>
          <w:tab w:val="left" w:pos="5039"/>
          <w:tab w:val="left" w:pos="5759"/>
          <w:tab w:val="left" w:pos="6479"/>
        </w:tabs>
        <w:ind w:left="0" w:right="720" w:firstLine="0"/>
        <w:rPr>
          <w:b/>
          <w:bCs/>
          <w:sz w:val="28"/>
          <w:szCs w:val="28"/>
        </w:rPr>
      </w:pPr>
    </w:p>
    <w:p w14:paraId="7F3111E3" w14:textId="3A08F70E" w:rsidR="0094224A" w:rsidRPr="007E36C0" w:rsidRDefault="0094224A" w:rsidP="0094224A">
      <w:pPr>
        <w:pStyle w:val="L11-1"/>
        <w:widowControl/>
        <w:tabs>
          <w:tab w:val="left" w:pos="2879"/>
          <w:tab w:val="left" w:pos="3599"/>
          <w:tab w:val="left" w:pos="4319"/>
          <w:tab w:val="left" w:pos="5039"/>
          <w:tab w:val="left" w:pos="5759"/>
          <w:tab w:val="left" w:pos="6479"/>
        </w:tabs>
        <w:ind w:left="1872" w:right="720" w:firstLine="0"/>
        <w:rPr>
          <w:b/>
          <w:bCs/>
          <w:sz w:val="28"/>
          <w:szCs w:val="28"/>
        </w:rPr>
      </w:pPr>
      <w:r w:rsidRPr="007E36C0">
        <w:rPr>
          <w:b/>
          <w:bCs/>
          <w:sz w:val="28"/>
          <w:szCs w:val="28"/>
        </w:rPr>
        <w:t>(</w:t>
      </w:r>
      <w:r w:rsidR="00223757">
        <w:rPr>
          <w:b/>
          <w:bCs/>
          <w:sz w:val="28"/>
          <w:szCs w:val="28"/>
        </w:rPr>
        <w:t>3</w:t>
      </w:r>
      <w:r w:rsidRPr="007E36C0">
        <w:rPr>
          <w:b/>
          <w:bCs/>
          <w:sz w:val="28"/>
          <w:szCs w:val="28"/>
        </w:rPr>
        <w:t xml:space="preserve">) </w:t>
      </w:r>
      <w:bookmarkStart w:id="2" w:name="_Hlk114496059"/>
      <w:r w:rsidRPr="007E36C0">
        <w:rPr>
          <w:b/>
          <w:bCs/>
          <w:sz w:val="28"/>
          <w:szCs w:val="28"/>
        </w:rPr>
        <w:t xml:space="preserve">evidence of the </w:t>
      </w:r>
      <w:r w:rsidRPr="007E36C0">
        <w:rPr>
          <w:b/>
          <w:bCs/>
          <w:sz w:val="28"/>
          <w:szCs w:val="28"/>
          <w:u w:val="single"/>
        </w:rPr>
        <w:t xml:space="preserve">victim’s </w:t>
      </w:r>
      <w:r w:rsidRPr="0006749C">
        <w:rPr>
          <w:b/>
          <w:bCs/>
          <w:sz w:val="28"/>
          <w:szCs w:val="28"/>
          <w:u w:val="single"/>
        </w:rPr>
        <w:t>reputation for</w:t>
      </w:r>
      <w:r w:rsidRPr="007E36C0">
        <w:rPr>
          <w:b/>
          <w:bCs/>
          <w:sz w:val="28"/>
          <w:szCs w:val="28"/>
        </w:rPr>
        <w:t xml:space="preserve"> violence is not admissible to prove that the victim was the “initial aggressor”;</w:t>
      </w:r>
      <w:bookmarkEnd w:id="2"/>
      <w:r w:rsidRPr="007E36C0">
        <w:rPr>
          <w:b/>
          <w:bCs/>
          <w:sz w:val="28"/>
          <w:szCs w:val="28"/>
        </w:rPr>
        <w:t xml:space="preserve"> </w:t>
      </w:r>
      <w:bookmarkEnd w:id="1"/>
      <w:r w:rsidRPr="007E36C0">
        <w:rPr>
          <w:b/>
          <w:bCs/>
          <w:sz w:val="28"/>
          <w:szCs w:val="28"/>
        </w:rPr>
        <w:t>and</w:t>
      </w:r>
    </w:p>
    <w:p w14:paraId="1888230F" w14:textId="77777777" w:rsidR="0094224A" w:rsidRPr="007E36C0" w:rsidRDefault="0094224A" w:rsidP="0094224A">
      <w:pPr>
        <w:pStyle w:val="L11-1"/>
        <w:widowControl/>
        <w:tabs>
          <w:tab w:val="left" w:pos="2879"/>
          <w:tab w:val="left" w:pos="3599"/>
          <w:tab w:val="left" w:pos="4319"/>
          <w:tab w:val="left" w:pos="5039"/>
          <w:tab w:val="left" w:pos="5759"/>
          <w:tab w:val="left" w:pos="6479"/>
        </w:tabs>
        <w:ind w:left="0" w:right="720" w:firstLine="0"/>
        <w:rPr>
          <w:b/>
          <w:bCs/>
          <w:sz w:val="28"/>
          <w:szCs w:val="28"/>
        </w:rPr>
      </w:pPr>
    </w:p>
    <w:p w14:paraId="39B5B803" w14:textId="55C5B342" w:rsidR="0094224A" w:rsidRPr="007E36C0" w:rsidRDefault="0094224A" w:rsidP="0094224A">
      <w:pPr>
        <w:pStyle w:val="L11-1"/>
        <w:widowControl/>
        <w:tabs>
          <w:tab w:val="left" w:pos="2879"/>
          <w:tab w:val="left" w:pos="3599"/>
          <w:tab w:val="left" w:pos="4319"/>
          <w:tab w:val="left" w:pos="5039"/>
          <w:tab w:val="left" w:pos="5759"/>
          <w:tab w:val="left" w:pos="6479"/>
        </w:tabs>
        <w:ind w:left="1872" w:right="720" w:firstLine="0"/>
        <w:rPr>
          <w:b/>
          <w:bCs/>
          <w:sz w:val="28"/>
          <w:szCs w:val="28"/>
        </w:rPr>
      </w:pPr>
      <w:r w:rsidRPr="007E36C0">
        <w:rPr>
          <w:b/>
          <w:bCs/>
          <w:sz w:val="28"/>
          <w:szCs w:val="28"/>
        </w:rPr>
        <w:t>(</w:t>
      </w:r>
      <w:r w:rsidR="00223757">
        <w:rPr>
          <w:b/>
          <w:bCs/>
          <w:sz w:val="28"/>
          <w:szCs w:val="28"/>
        </w:rPr>
        <w:t>4</w:t>
      </w:r>
      <w:r w:rsidRPr="007E36C0">
        <w:rPr>
          <w:b/>
          <w:bCs/>
          <w:sz w:val="28"/>
          <w:szCs w:val="28"/>
        </w:rPr>
        <w:t xml:space="preserve">) evidence of the </w:t>
      </w:r>
      <w:r w:rsidRPr="007E36C0">
        <w:rPr>
          <w:b/>
          <w:bCs/>
          <w:sz w:val="28"/>
          <w:szCs w:val="28"/>
          <w:u w:val="single"/>
        </w:rPr>
        <w:t xml:space="preserve">defendant’s reputation </w:t>
      </w:r>
      <w:r w:rsidRPr="007E36C0">
        <w:rPr>
          <w:b/>
          <w:bCs/>
          <w:sz w:val="28"/>
          <w:szCs w:val="28"/>
        </w:rPr>
        <w:t>for violence is not admissible to prove that the defendant was the “initial aggressor.”</w:t>
      </w:r>
    </w:p>
    <w:p w14:paraId="0B612276" w14:textId="77777777" w:rsidR="0094224A" w:rsidRPr="007E36C0" w:rsidRDefault="0094224A" w:rsidP="0094224A">
      <w:pPr>
        <w:spacing w:line="240" w:lineRule="auto"/>
        <w:rPr>
          <w:rFonts w:ascii="Times New Roman" w:hAnsi="Times New Roman" w:cs="Times New Roman"/>
          <w:sz w:val="28"/>
          <w:szCs w:val="28"/>
        </w:rPr>
      </w:pPr>
    </w:p>
    <w:p w14:paraId="2873B467" w14:textId="77777777" w:rsidR="0094224A" w:rsidRPr="007E36C0" w:rsidRDefault="0094224A" w:rsidP="0094224A">
      <w:pPr>
        <w:spacing w:line="240" w:lineRule="auto"/>
        <w:jc w:val="center"/>
        <w:rPr>
          <w:rFonts w:ascii="Times New Roman" w:hAnsi="Times New Roman" w:cs="Times New Roman"/>
          <w:b/>
          <w:bCs/>
          <w:sz w:val="28"/>
          <w:szCs w:val="28"/>
        </w:rPr>
      </w:pPr>
      <w:r w:rsidRPr="007E36C0">
        <w:rPr>
          <w:rFonts w:ascii="Times New Roman" w:hAnsi="Times New Roman" w:cs="Times New Roman"/>
          <w:b/>
          <w:bCs/>
          <w:sz w:val="28"/>
          <w:szCs w:val="28"/>
        </w:rPr>
        <w:t>Note</w:t>
      </w:r>
    </w:p>
    <w:p w14:paraId="79DC9B59" w14:textId="77777777" w:rsidR="0094224A" w:rsidRPr="007E36C0" w:rsidRDefault="0094224A" w:rsidP="0094224A">
      <w:pPr>
        <w:pStyle w:val="NoSpacing"/>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sz w:val="28"/>
          <w:szCs w:val="28"/>
        </w:rPr>
      </w:pPr>
      <w:r w:rsidRPr="007E36C0">
        <w:rPr>
          <w:b/>
          <w:bCs/>
          <w:sz w:val="28"/>
          <w:szCs w:val="28"/>
        </w:rPr>
        <w:tab/>
        <w:t>Subdivision (1) (c)</w:t>
      </w:r>
      <w:r w:rsidRPr="007E36C0">
        <w:rPr>
          <w:bCs/>
          <w:sz w:val="28"/>
          <w:szCs w:val="28"/>
        </w:rPr>
        <w:t>.</w:t>
      </w:r>
      <w:r w:rsidRPr="007E36C0">
        <w:rPr>
          <w:sz w:val="28"/>
          <w:szCs w:val="28"/>
        </w:rPr>
        <w:t xml:space="preserve"> Paragraph (c) of subdivision (1) is derived from Court of Appeals decisions holding that when the defendant interposes a justification defense of self-defense, evidence of the victim’s </w:t>
      </w:r>
      <w:r w:rsidRPr="007E36C0">
        <w:rPr>
          <w:i/>
          <w:iCs/>
          <w:sz w:val="28"/>
          <w:szCs w:val="28"/>
        </w:rPr>
        <w:t>reputation</w:t>
      </w:r>
      <w:r w:rsidRPr="007E36C0">
        <w:rPr>
          <w:sz w:val="28"/>
          <w:szCs w:val="28"/>
        </w:rPr>
        <w:t xml:space="preserve"> for being a violent person and evidence of the victim’s prior violent acts against others, when known to the defendant, are admissible to show the defendant’s state of mind as to the necessity of defending himself or herself (</w:t>
      </w:r>
      <w:r w:rsidRPr="007E36C0">
        <w:rPr>
          <w:i/>
          <w:iCs/>
          <w:sz w:val="28"/>
          <w:szCs w:val="28"/>
        </w:rPr>
        <w:t>People v Rodawald</w:t>
      </w:r>
      <w:r w:rsidRPr="007E36C0">
        <w:rPr>
          <w:sz w:val="28"/>
          <w:szCs w:val="28"/>
        </w:rPr>
        <w:t xml:space="preserve">, 177 NY 408, 423 [1904]); and further, that evidence of the victim’s past violent </w:t>
      </w:r>
      <w:r w:rsidRPr="007E36C0">
        <w:rPr>
          <w:i/>
          <w:sz w:val="28"/>
          <w:szCs w:val="28"/>
        </w:rPr>
        <w:t>acts</w:t>
      </w:r>
      <w:r w:rsidRPr="007E36C0">
        <w:rPr>
          <w:sz w:val="28"/>
          <w:szCs w:val="28"/>
        </w:rPr>
        <w:t xml:space="preserve"> against others, when known to the defendant, is admissible as to the reasonableness of defendant’s conduct, provided the evidence is reasonably related to the crime charged (</w:t>
      </w:r>
      <w:r w:rsidRPr="007E36C0">
        <w:rPr>
          <w:i/>
          <w:iCs/>
          <w:sz w:val="28"/>
          <w:szCs w:val="28"/>
        </w:rPr>
        <w:t>see e.g. People v Miller</w:t>
      </w:r>
      <w:r w:rsidRPr="007E36C0">
        <w:rPr>
          <w:sz w:val="28"/>
          <w:szCs w:val="28"/>
        </w:rPr>
        <w:t xml:space="preserve">, </w:t>
      </w:r>
      <w:r w:rsidRPr="007E36C0">
        <w:rPr>
          <w:sz w:val="28"/>
          <w:szCs w:val="28"/>
        </w:rPr>
        <w:lastRenderedPageBreak/>
        <w:t xml:space="preserve">39 NY2d 543, 551-552 [1976]; </w:t>
      </w:r>
      <w:r w:rsidRPr="007E36C0">
        <w:rPr>
          <w:i/>
          <w:iCs/>
          <w:sz w:val="28"/>
          <w:szCs w:val="28"/>
        </w:rPr>
        <w:t>Matter of Robert S</w:t>
      </w:r>
      <w:r w:rsidRPr="007E36C0">
        <w:rPr>
          <w:sz w:val="28"/>
          <w:szCs w:val="28"/>
        </w:rPr>
        <w:t xml:space="preserve">., 52 NY2d 1046 [1981]; </w:t>
      </w:r>
      <w:r w:rsidRPr="007E36C0">
        <w:rPr>
          <w:rFonts w:eastAsia="Times New Roman"/>
          <w:i/>
          <w:sz w:val="28"/>
          <w:szCs w:val="28"/>
        </w:rPr>
        <w:t>People v Guerra</w:t>
      </w:r>
      <w:r w:rsidRPr="007E36C0">
        <w:rPr>
          <w:rFonts w:eastAsia="Times New Roman"/>
          <w:sz w:val="28"/>
          <w:szCs w:val="28"/>
        </w:rPr>
        <w:t>, 39 NY3d 1158 [2023]</w:t>
      </w:r>
      <w:r w:rsidRPr="007E36C0">
        <w:rPr>
          <w:sz w:val="28"/>
          <w:szCs w:val="28"/>
        </w:rPr>
        <w:t>).</w:t>
      </w:r>
    </w:p>
    <w:p w14:paraId="1F408D8F" w14:textId="77777777" w:rsidR="0094224A" w:rsidRPr="007E36C0" w:rsidRDefault="0094224A" w:rsidP="0094224A">
      <w:pPr>
        <w:pStyle w:val="NoSpacing"/>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sz w:val="28"/>
          <w:szCs w:val="28"/>
        </w:rPr>
      </w:pPr>
    </w:p>
    <w:p w14:paraId="0A8373E7" w14:textId="77777777" w:rsidR="0094224A" w:rsidRPr="007E36C0" w:rsidRDefault="0094224A" w:rsidP="0094224A">
      <w:pPr>
        <w:shd w:val="clear" w:color="auto" w:fill="FFFFFF"/>
        <w:tabs>
          <w:tab w:val="left" w:pos="720"/>
        </w:tabs>
        <w:spacing w:line="240" w:lineRule="auto"/>
        <w:jc w:val="both"/>
        <w:rPr>
          <w:rFonts w:ascii="Times New Roman" w:hAnsi="Times New Roman" w:cs="Times New Roman"/>
          <w:sz w:val="28"/>
          <w:szCs w:val="28"/>
        </w:rPr>
      </w:pPr>
      <w:r w:rsidRPr="007E36C0">
        <w:rPr>
          <w:rFonts w:ascii="Times New Roman" w:hAnsi="Times New Roman" w:cs="Times New Roman"/>
          <w:sz w:val="28"/>
          <w:szCs w:val="28"/>
        </w:rPr>
        <w:tab/>
        <w:t xml:space="preserve">On the question of who was the “initial aggressor,” </w:t>
      </w:r>
      <w:r w:rsidRPr="007E36C0">
        <w:rPr>
          <w:rFonts w:ascii="Times New Roman" w:hAnsi="Times New Roman" w:cs="Times New Roman"/>
          <w:i/>
          <w:iCs/>
          <w:sz w:val="28"/>
          <w:szCs w:val="28"/>
        </w:rPr>
        <w:t>People v Petty</w:t>
      </w:r>
      <w:r w:rsidRPr="007E36C0">
        <w:rPr>
          <w:rFonts w:ascii="Times New Roman" w:hAnsi="Times New Roman" w:cs="Times New Roman"/>
          <w:sz w:val="28"/>
          <w:szCs w:val="28"/>
        </w:rPr>
        <w:t xml:space="preserve"> (7 NY3d 277 [2006]) permits evidence of the victim’s threats against the defendant, whether the defendant was aware of the threats or not. That evidence permits an inference of the victim’s “intent” to “act upon [the uttered threats]” and that he or she did so as the initial aggressor (</w:t>
      </w:r>
      <w:r w:rsidRPr="007E36C0">
        <w:rPr>
          <w:rFonts w:ascii="Times New Roman" w:hAnsi="Times New Roman" w:cs="Times New Roman"/>
          <w:i/>
          <w:sz w:val="28"/>
          <w:szCs w:val="28"/>
        </w:rPr>
        <w:t>id.</w:t>
      </w:r>
      <w:r w:rsidRPr="007E36C0">
        <w:rPr>
          <w:rFonts w:ascii="Times New Roman" w:hAnsi="Times New Roman" w:cs="Times New Roman"/>
          <w:sz w:val="28"/>
          <w:szCs w:val="28"/>
        </w:rPr>
        <w:t xml:space="preserve"> at 285).</w:t>
      </w:r>
    </w:p>
    <w:p w14:paraId="70022D4C" w14:textId="77777777" w:rsidR="0094224A" w:rsidRPr="007E36C0" w:rsidRDefault="0094224A" w:rsidP="0094224A">
      <w:pPr>
        <w:shd w:val="clear" w:color="auto" w:fill="FFFFFF"/>
        <w:tabs>
          <w:tab w:val="left" w:pos="720"/>
        </w:tabs>
        <w:spacing w:line="240" w:lineRule="auto"/>
        <w:jc w:val="both"/>
        <w:rPr>
          <w:rFonts w:ascii="Times New Roman" w:eastAsia="Times New Roman" w:hAnsi="Times New Roman" w:cs="Times New Roman"/>
          <w:sz w:val="28"/>
          <w:szCs w:val="28"/>
        </w:rPr>
      </w:pPr>
      <w:r w:rsidRPr="007E36C0">
        <w:rPr>
          <w:rFonts w:ascii="Times New Roman" w:hAnsi="Times New Roman" w:cs="Times New Roman"/>
          <w:sz w:val="28"/>
          <w:szCs w:val="28"/>
        </w:rPr>
        <w:tab/>
        <w:t>The “general reputation” of the victim as “quarrelsome, vindictive or violent,” however, is “not received to show” that the victim “was the aggressor” nor is similar evidence of the reputation of the defendant admissible to show the defendant was the aggressor (</w:t>
      </w:r>
      <w:r w:rsidRPr="007E36C0">
        <w:rPr>
          <w:rFonts w:ascii="Times New Roman" w:hAnsi="Times New Roman" w:cs="Times New Roman"/>
          <w:i/>
          <w:iCs/>
          <w:sz w:val="28"/>
          <w:szCs w:val="28"/>
        </w:rPr>
        <w:t>People v Rodawald</w:t>
      </w:r>
      <w:r w:rsidRPr="007E36C0">
        <w:rPr>
          <w:rFonts w:ascii="Times New Roman" w:hAnsi="Times New Roman" w:cs="Times New Roman"/>
          <w:sz w:val="28"/>
          <w:szCs w:val="28"/>
        </w:rPr>
        <w:t xml:space="preserve">, 177 NY 408, 423 [1904]; </w:t>
      </w:r>
      <w:r w:rsidRPr="007E36C0">
        <w:rPr>
          <w:rFonts w:ascii="Times New Roman" w:eastAsia="Times New Roman" w:hAnsi="Times New Roman" w:cs="Times New Roman"/>
          <w:sz w:val="28"/>
          <w:szCs w:val="28"/>
          <w:bdr w:val="none" w:sz="0" w:space="0" w:color="auto" w:frame="1"/>
        </w:rPr>
        <w:t>Prince, Richardson on Evidence § 4-409 at 172 [Farrell 11th</w:t>
      </w:r>
      <w:r w:rsidRPr="007E36C0">
        <w:rPr>
          <w:rFonts w:ascii="Times New Roman" w:eastAsia="Times New Roman" w:hAnsi="Times New Roman" w:cs="Times New Roman"/>
          <w:sz w:val="28"/>
          <w:szCs w:val="28"/>
          <w:bdr w:val="none" w:sz="0" w:space="0" w:color="auto" w:frame="1"/>
          <w:vertAlign w:val="superscript"/>
        </w:rPr>
        <w:t xml:space="preserve"> </w:t>
      </w:r>
      <w:r w:rsidRPr="007E36C0">
        <w:rPr>
          <w:rFonts w:ascii="Times New Roman" w:eastAsia="Times New Roman" w:hAnsi="Times New Roman" w:cs="Times New Roman"/>
          <w:sz w:val="28"/>
          <w:szCs w:val="28"/>
          <w:bdr w:val="none" w:sz="0" w:space="0" w:color="auto" w:frame="1"/>
        </w:rPr>
        <w:t xml:space="preserve">ed]; </w:t>
      </w:r>
      <w:r w:rsidRPr="007E36C0">
        <w:rPr>
          <w:rFonts w:ascii="Times New Roman" w:hAnsi="Times New Roman" w:cs="Times New Roman"/>
          <w:i/>
          <w:iCs/>
          <w:sz w:val="28"/>
          <w:szCs w:val="28"/>
        </w:rPr>
        <w:t>cf.</w:t>
      </w:r>
      <w:r w:rsidRPr="007E36C0">
        <w:rPr>
          <w:rFonts w:ascii="Times New Roman" w:hAnsi="Times New Roman" w:cs="Times New Roman"/>
          <w:sz w:val="28"/>
          <w:szCs w:val="28"/>
        </w:rPr>
        <w:t xml:space="preserve"> </w:t>
      </w:r>
      <w:r w:rsidRPr="007E36C0">
        <w:rPr>
          <w:rFonts w:ascii="Times New Roman" w:hAnsi="Times New Roman" w:cs="Times New Roman"/>
          <w:i/>
          <w:iCs/>
          <w:sz w:val="28"/>
          <w:szCs w:val="28"/>
          <w:bdr w:val="none" w:sz="0" w:space="0" w:color="auto" w:frame="1"/>
        </w:rPr>
        <w:t>Matter of Robert S.</w:t>
      </w:r>
      <w:r w:rsidRPr="007E36C0">
        <w:rPr>
          <w:rFonts w:ascii="Times New Roman" w:hAnsi="Times New Roman" w:cs="Times New Roman"/>
          <w:sz w:val="28"/>
          <w:szCs w:val="28"/>
        </w:rPr>
        <w:t xml:space="preserve">, 52 NY2d 1046 [1981]; </w:t>
      </w:r>
      <w:r w:rsidRPr="007E36C0">
        <w:rPr>
          <w:rFonts w:ascii="Times New Roman" w:hAnsi="Times New Roman" w:cs="Times New Roman"/>
          <w:i/>
          <w:iCs/>
          <w:sz w:val="28"/>
          <w:szCs w:val="28"/>
          <w:bdr w:val="none" w:sz="0" w:space="0" w:color="auto" w:frame="1"/>
        </w:rPr>
        <w:t>People v Miller</w:t>
      </w:r>
      <w:r w:rsidRPr="007E36C0">
        <w:rPr>
          <w:rFonts w:ascii="Times New Roman" w:hAnsi="Times New Roman" w:cs="Times New Roman"/>
          <w:sz w:val="28"/>
          <w:szCs w:val="28"/>
        </w:rPr>
        <w:t xml:space="preserve">, 39 NY2d 543 [1976]; </w:t>
      </w:r>
      <w:r w:rsidRPr="007E36C0">
        <w:rPr>
          <w:rFonts w:ascii="Times New Roman" w:hAnsi="Times New Roman" w:cs="Times New Roman"/>
          <w:i/>
          <w:iCs/>
          <w:sz w:val="28"/>
          <w:szCs w:val="28"/>
        </w:rPr>
        <w:t>but see</w:t>
      </w:r>
      <w:r w:rsidRPr="007E36C0">
        <w:rPr>
          <w:rFonts w:ascii="Times New Roman" w:hAnsi="Times New Roman" w:cs="Times New Roman"/>
          <w:sz w:val="28"/>
          <w:szCs w:val="28"/>
        </w:rPr>
        <w:t xml:space="preserve"> </w:t>
      </w:r>
      <w:r w:rsidRPr="007E36C0">
        <w:rPr>
          <w:rFonts w:ascii="Times New Roman" w:eastAsia="Times New Roman" w:hAnsi="Times New Roman" w:cs="Times New Roman"/>
          <w:i/>
          <w:iCs/>
          <w:sz w:val="28"/>
          <w:szCs w:val="28"/>
        </w:rPr>
        <w:t>Williams v Lord</w:t>
      </w:r>
      <w:r w:rsidRPr="007E36C0">
        <w:rPr>
          <w:rFonts w:ascii="Times New Roman" w:eastAsia="Times New Roman" w:hAnsi="Times New Roman" w:cs="Times New Roman"/>
          <w:sz w:val="28"/>
          <w:szCs w:val="28"/>
        </w:rPr>
        <w:t>, 996 F2d 1481, 1484 [2d Cir 1993, concurring op]).</w:t>
      </w:r>
    </w:p>
    <w:p w14:paraId="1E90A849" w14:textId="6106A8EE" w:rsidR="0094224A" w:rsidRPr="00583C08" w:rsidRDefault="0094224A" w:rsidP="0094224A">
      <w:pPr>
        <w:shd w:val="clear" w:color="auto" w:fill="FFFFFF"/>
        <w:tabs>
          <w:tab w:val="left" w:pos="720"/>
        </w:tabs>
        <w:spacing w:line="240" w:lineRule="auto"/>
        <w:jc w:val="both"/>
        <w:rPr>
          <w:rFonts w:ascii="Times New Roman" w:hAnsi="Times New Roman" w:cs="Times New Roman"/>
          <w:color w:val="000000" w:themeColor="text1"/>
          <w:sz w:val="28"/>
          <w:szCs w:val="28"/>
        </w:rPr>
      </w:pPr>
      <w:r w:rsidRPr="007E36C0">
        <w:rPr>
          <w:rFonts w:ascii="Times New Roman" w:eastAsia="Times New Roman" w:hAnsi="Times New Roman" w:cs="Times New Roman"/>
          <w:color w:val="00B050"/>
          <w:sz w:val="28"/>
          <w:szCs w:val="28"/>
        </w:rPr>
        <w:tab/>
      </w:r>
      <w:r w:rsidRPr="00583C08">
        <w:rPr>
          <w:rFonts w:ascii="Times New Roman" w:eastAsia="Times New Roman" w:hAnsi="Times New Roman" w:cs="Times New Roman"/>
          <w:color w:val="000000" w:themeColor="text1"/>
          <w:sz w:val="28"/>
          <w:szCs w:val="28"/>
        </w:rPr>
        <w:t>On the method of proof of reputation, see Guide to NY Evidence rule</w:t>
      </w:r>
      <w:r w:rsidR="00463122">
        <w:rPr>
          <w:rFonts w:ascii="Times New Roman" w:eastAsia="Times New Roman" w:hAnsi="Times New Roman" w:cs="Times New Roman"/>
          <w:color w:val="000000" w:themeColor="text1"/>
          <w:sz w:val="28"/>
          <w:szCs w:val="28"/>
        </w:rPr>
        <w:t xml:space="preserve"> 4.09</w:t>
      </w:r>
      <w:r w:rsidRPr="00583C08">
        <w:rPr>
          <w:rFonts w:ascii="Times New Roman" w:eastAsia="Times New Roman" w:hAnsi="Times New Roman" w:cs="Times New Roman"/>
          <w:color w:val="000000" w:themeColor="text1"/>
          <w:sz w:val="28"/>
          <w:szCs w:val="28"/>
        </w:rPr>
        <w:t xml:space="preserve">, Character Evidence; </w:t>
      </w:r>
      <w:r w:rsidR="00FC681B">
        <w:rPr>
          <w:rFonts w:ascii="Times New Roman" w:eastAsia="Times New Roman" w:hAnsi="Times New Roman" w:cs="Times New Roman"/>
          <w:color w:val="000000" w:themeColor="text1"/>
          <w:sz w:val="28"/>
          <w:szCs w:val="28"/>
        </w:rPr>
        <w:t>Method of Proof.</w:t>
      </w:r>
    </w:p>
    <w:p w14:paraId="2E94ACBF" w14:textId="77777777" w:rsidR="0094224A" w:rsidRPr="007E36C0" w:rsidRDefault="0094224A" w:rsidP="0094224A">
      <w:pPr>
        <w:spacing w:line="240" w:lineRule="auto"/>
        <w:rPr>
          <w:rFonts w:ascii="Times New Roman" w:hAnsi="Times New Roman" w:cs="Times New Roman"/>
          <w:b/>
          <w:bCs/>
          <w:sz w:val="28"/>
          <w:szCs w:val="28"/>
        </w:rPr>
      </w:pPr>
    </w:p>
    <w:p w14:paraId="45B6655E" w14:textId="77777777" w:rsidR="00AD48FC" w:rsidRDefault="00AD48FC"/>
    <w:sectPr w:rsidR="00AD48FC" w:rsidSect="0094224A">
      <w:pgSz w:w="12240" w:h="15840"/>
      <w:pgMar w:top="1080" w:right="2160" w:bottom="1080" w:left="21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6F7BED"/>
    <w:multiLevelType w:val="hybridMultilevel"/>
    <w:tmpl w:val="782A6474"/>
    <w:lvl w:ilvl="0" w:tplc="DBAC15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A943EB"/>
    <w:multiLevelType w:val="multilevel"/>
    <w:tmpl w:val="9228A7B0"/>
    <w:lvl w:ilvl="0">
      <w:start w:val="1"/>
      <w:numFmt w:val="lowerLetter"/>
      <w:lvlText w:val="(%1)"/>
      <w:legacy w:legacy="1" w:legacySpace="0" w:legacyIndent="0"/>
      <w:lvlJc w:val="left"/>
      <w:rPr>
        <w:rFonts w:cs="Times New Roman"/>
      </w:rPr>
    </w:lvl>
    <w:lvl w:ilvl="1">
      <w:start w:val="1"/>
      <w:numFmt w:val="lowerLetter"/>
      <w:lvlText w:val="%2."/>
      <w:legacy w:legacy="1" w:legacySpace="0" w:legacyIndent="0"/>
      <w:lvlJc w:val="left"/>
      <w:rPr>
        <w:rFonts w:cs="Times New Roman"/>
      </w:rPr>
    </w:lvl>
    <w:lvl w:ilvl="2">
      <w:start w:val="1"/>
      <w:numFmt w:val="lowerRoman"/>
      <w:lvlText w:val="%3."/>
      <w:legacy w:legacy="1" w:legacySpace="0" w:legacyIndent="0"/>
      <w:lvlJc w:val="left"/>
      <w:rPr>
        <w:rFonts w:cs="Times New Roman"/>
      </w:rPr>
    </w:lvl>
    <w:lvl w:ilvl="3">
      <w:start w:val="1"/>
      <w:numFmt w:val="decimal"/>
      <w:lvlText w:val="%4."/>
      <w:legacy w:legacy="1" w:legacySpace="0" w:legacyIndent="0"/>
      <w:lvlJc w:val="left"/>
      <w:rPr>
        <w:rFonts w:cs="Times New Roman"/>
      </w:rPr>
    </w:lvl>
    <w:lvl w:ilvl="4">
      <w:start w:val="1"/>
      <w:numFmt w:val="lowerLetter"/>
      <w:lvlText w:val="%5."/>
      <w:legacy w:legacy="1" w:legacySpace="0" w:legacyIndent="0"/>
      <w:lvlJc w:val="left"/>
      <w:rPr>
        <w:rFonts w:cs="Times New Roman"/>
      </w:rPr>
    </w:lvl>
    <w:lvl w:ilvl="5">
      <w:start w:val="1"/>
      <w:numFmt w:val="lowerRoman"/>
      <w:lvlText w:val="%6."/>
      <w:legacy w:legacy="1" w:legacySpace="0" w:legacyIndent="0"/>
      <w:lvlJc w:val="left"/>
      <w:rPr>
        <w:rFonts w:cs="Times New Roman"/>
      </w:rPr>
    </w:lvl>
    <w:lvl w:ilvl="6">
      <w:start w:val="1"/>
      <w:numFmt w:val="decimal"/>
      <w:lvlText w:val="%7."/>
      <w:legacy w:legacy="1" w:legacySpace="0" w:legacyIndent="0"/>
      <w:lvlJc w:val="left"/>
      <w:rPr>
        <w:rFonts w:cs="Times New Roman"/>
      </w:rPr>
    </w:lvl>
    <w:lvl w:ilvl="7">
      <w:start w:val="1"/>
      <w:numFmt w:val="lowerLetter"/>
      <w:lvlText w:val="%8."/>
      <w:legacy w:legacy="1" w:legacySpace="0" w:legacyIndent="0"/>
      <w:lvlJc w:val="left"/>
      <w:rPr>
        <w:rFonts w:cs="Times New Roman"/>
      </w:rPr>
    </w:lvl>
    <w:lvl w:ilvl="8">
      <w:start w:val="1"/>
      <w:numFmt w:val="lowerRoman"/>
      <w:lvlText w:val="%9)"/>
      <w:legacy w:legacy="1" w:legacySpace="0" w:legacyIndent="0"/>
      <w:lvlJc w:val="left"/>
      <w:rPr>
        <w:rFonts w:cs="Times New Roman"/>
      </w:rPr>
    </w:lvl>
  </w:abstractNum>
  <w:num w:numId="1" w16cid:durableId="314187381">
    <w:abstractNumId w:val="1"/>
  </w:num>
  <w:num w:numId="2" w16cid:durableId="843481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drawingGridHorizontalSpacing w:val="120"/>
  <w:drawingGridVerticalSpacing w:val="163"/>
  <w:displayHorizontalDrawingGridEvery w:val="0"/>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94224A"/>
    <w:rsid w:val="00064F17"/>
    <w:rsid w:val="0006749C"/>
    <w:rsid w:val="000A417A"/>
    <w:rsid w:val="00102655"/>
    <w:rsid w:val="00107997"/>
    <w:rsid w:val="001271B5"/>
    <w:rsid w:val="00142DAD"/>
    <w:rsid w:val="00191932"/>
    <w:rsid w:val="001D383F"/>
    <w:rsid w:val="001F785A"/>
    <w:rsid w:val="0020603F"/>
    <w:rsid w:val="002125EC"/>
    <w:rsid w:val="00223757"/>
    <w:rsid w:val="0022525A"/>
    <w:rsid w:val="00254815"/>
    <w:rsid w:val="00271926"/>
    <w:rsid w:val="002A308A"/>
    <w:rsid w:val="002E5837"/>
    <w:rsid w:val="003035A9"/>
    <w:rsid w:val="0032043A"/>
    <w:rsid w:val="00363A96"/>
    <w:rsid w:val="00365286"/>
    <w:rsid w:val="003A4A20"/>
    <w:rsid w:val="003A4F5F"/>
    <w:rsid w:val="003B6C10"/>
    <w:rsid w:val="003C29FA"/>
    <w:rsid w:val="003E3CC2"/>
    <w:rsid w:val="0042368D"/>
    <w:rsid w:val="00431C56"/>
    <w:rsid w:val="00432AB0"/>
    <w:rsid w:val="00435824"/>
    <w:rsid w:val="00463122"/>
    <w:rsid w:val="004817E7"/>
    <w:rsid w:val="004E0B03"/>
    <w:rsid w:val="00570E4B"/>
    <w:rsid w:val="00581FBD"/>
    <w:rsid w:val="00583C08"/>
    <w:rsid w:val="005903F9"/>
    <w:rsid w:val="005A69C7"/>
    <w:rsid w:val="005D1EE3"/>
    <w:rsid w:val="005E2CC2"/>
    <w:rsid w:val="005E7D7F"/>
    <w:rsid w:val="0063519E"/>
    <w:rsid w:val="0064449E"/>
    <w:rsid w:val="00677B5B"/>
    <w:rsid w:val="006B7884"/>
    <w:rsid w:val="006C54AB"/>
    <w:rsid w:val="006D3D1C"/>
    <w:rsid w:val="006F6B73"/>
    <w:rsid w:val="006F75D9"/>
    <w:rsid w:val="00702BB4"/>
    <w:rsid w:val="00771AD3"/>
    <w:rsid w:val="00795D59"/>
    <w:rsid w:val="007E7481"/>
    <w:rsid w:val="008A7095"/>
    <w:rsid w:val="008B3114"/>
    <w:rsid w:val="008C24AC"/>
    <w:rsid w:val="008D6C54"/>
    <w:rsid w:val="008F4156"/>
    <w:rsid w:val="009117E4"/>
    <w:rsid w:val="0094224A"/>
    <w:rsid w:val="00954B1A"/>
    <w:rsid w:val="00955970"/>
    <w:rsid w:val="009844A4"/>
    <w:rsid w:val="009C43FA"/>
    <w:rsid w:val="009E1CDC"/>
    <w:rsid w:val="009E6219"/>
    <w:rsid w:val="009F48E4"/>
    <w:rsid w:val="00A32C61"/>
    <w:rsid w:val="00A35D58"/>
    <w:rsid w:val="00A55D92"/>
    <w:rsid w:val="00A649A0"/>
    <w:rsid w:val="00AA0507"/>
    <w:rsid w:val="00AD48FC"/>
    <w:rsid w:val="00AD4C45"/>
    <w:rsid w:val="00AE19B6"/>
    <w:rsid w:val="00B116F8"/>
    <w:rsid w:val="00B13196"/>
    <w:rsid w:val="00B2768C"/>
    <w:rsid w:val="00B549C0"/>
    <w:rsid w:val="00B648EA"/>
    <w:rsid w:val="00B70C0E"/>
    <w:rsid w:val="00C14B7F"/>
    <w:rsid w:val="00C2017F"/>
    <w:rsid w:val="00C42C3E"/>
    <w:rsid w:val="00C9512E"/>
    <w:rsid w:val="00C95FCB"/>
    <w:rsid w:val="00CC1272"/>
    <w:rsid w:val="00CD35BE"/>
    <w:rsid w:val="00D61C8F"/>
    <w:rsid w:val="00D7108E"/>
    <w:rsid w:val="00D905CD"/>
    <w:rsid w:val="00DA29A5"/>
    <w:rsid w:val="00DB702E"/>
    <w:rsid w:val="00DD0E8B"/>
    <w:rsid w:val="00E11581"/>
    <w:rsid w:val="00E14619"/>
    <w:rsid w:val="00E31DAF"/>
    <w:rsid w:val="00E953C6"/>
    <w:rsid w:val="00E97CAC"/>
    <w:rsid w:val="00EB038C"/>
    <w:rsid w:val="00EB1C72"/>
    <w:rsid w:val="00EC4AE8"/>
    <w:rsid w:val="00EE506E"/>
    <w:rsid w:val="00F80034"/>
    <w:rsid w:val="00F82C8E"/>
    <w:rsid w:val="00FC681B"/>
    <w:rsid w:val="00FE6BE5"/>
    <w:rsid w:val="00FE6D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6AC4B"/>
  <w15:chartTrackingRefBased/>
  <w15:docId w15:val="{C4134986-6568-4455-B084-A8DA9C553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pacing w:val="-10"/>
        <w:sz w:val="24"/>
        <w:szCs w:val="24"/>
        <w:lang w:val="en-US"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B5B"/>
    <w:pPr>
      <w:spacing w:after="160" w:line="278" w:lineRule="auto"/>
      <w:jc w:val="left"/>
    </w:pPr>
    <w:rPr>
      <w:rFonts w:asciiTheme="minorHAnsi" w:hAnsiTheme="minorHAnsi" w:cstheme="minorBidi"/>
      <w:spacing w:val="0"/>
      <w:kern w:val="2"/>
    </w:rPr>
  </w:style>
  <w:style w:type="paragraph" w:styleId="Heading1">
    <w:name w:val="heading 1"/>
    <w:basedOn w:val="Normal"/>
    <w:next w:val="Normal"/>
    <w:link w:val="Heading1Char"/>
    <w:uiPriority w:val="9"/>
    <w:qFormat/>
    <w:rsid w:val="0094224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4224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4224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4224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4224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4224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4224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4224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4224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quationCaption">
    <w:name w:val="_Equation Caption"/>
    <w:uiPriority w:val="99"/>
    <w:rsid w:val="006F6B73"/>
  </w:style>
  <w:style w:type="paragraph" w:styleId="Index1">
    <w:name w:val="index 1"/>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Index2">
    <w:name w:val="index 2"/>
    <w:basedOn w:val="Normal"/>
    <w:next w:val="Normal"/>
    <w:uiPriority w:val="99"/>
    <w:rsid w:val="006F6B73"/>
    <w:pPr>
      <w:tabs>
        <w:tab w:val="right" w:leader="dot" w:pos="9360"/>
      </w:tabs>
      <w:suppressAutoHyphens/>
      <w:spacing w:line="240" w:lineRule="atLeast"/>
      <w:ind w:left="720"/>
    </w:pPr>
    <w:rPr>
      <w:rFonts w:eastAsia="Times New Roman"/>
    </w:rPr>
  </w:style>
  <w:style w:type="paragraph" w:styleId="TOC1">
    <w:name w:val="toc 1"/>
    <w:basedOn w:val="NoSpacing"/>
    <w:next w:val="NoSpacing"/>
    <w:autoRedefine/>
    <w:uiPriority w:val="39"/>
    <w:qFormat/>
    <w:rsid w:val="00102655"/>
    <w:pPr>
      <w:spacing w:before="120" w:after="120" w:line="278" w:lineRule="auto"/>
      <w:jc w:val="left"/>
    </w:pPr>
    <w:rPr>
      <w:rFonts w:eastAsiaTheme="minorEastAsia" w:cstheme="minorBidi"/>
      <w:b/>
      <w:bCs/>
      <w:caps/>
      <w:spacing w:val="0"/>
      <w:kern w:val="2"/>
      <w:szCs w:val="20"/>
    </w:rPr>
  </w:style>
  <w:style w:type="paragraph" w:styleId="TOC2">
    <w:name w:val="toc 2"/>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3">
    <w:name w:val="toc 3"/>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4">
    <w:name w:val="toc 4"/>
    <w:basedOn w:val="NoSpacing"/>
    <w:next w:val="NoSpacing"/>
    <w:autoRedefine/>
    <w:uiPriority w:val="99"/>
    <w:rsid w:val="00102655"/>
    <w:pPr>
      <w:ind w:left="720"/>
      <w:jc w:val="left"/>
    </w:pPr>
    <w:rPr>
      <w:spacing w:val="0"/>
      <w:kern w:val="2"/>
      <w:szCs w:val="18"/>
    </w:rPr>
  </w:style>
  <w:style w:type="paragraph" w:styleId="TOC5">
    <w:name w:val="toc 5"/>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6">
    <w:name w:val="toc 6"/>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7">
    <w:name w:val="toc 7"/>
    <w:basedOn w:val="Normal"/>
    <w:next w:val="Normal"/>
    <w:uiPriority w:val="99"/>
    <w:rsid w:val="006F6B73"/>
    <w:pPr>
      <w:suppressAutoHyphens/>
      <w:spacing w:line="240" w:lineRule="atLeast"/>
      <w:ind w:left="720" w:hanging="720"/>
    </w:pPr>
    <w:rPr>
      <w:rFonts w:eastAsia="Times New Roman"/>
    </w:rPr>
  </w:style>
  <w:style w:type="paragraph" w:styleId="TOC8">
    <w:name w:val="toc 8"/>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9">
    <w:name w:val="toc 9"/>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FootnoteText">
    <w:name w:val="footnote text"/>
    <w:basedOn w:val="Normal"/>
    <w:link w:val="FootnoteTextChar"/>
    <w:uiPriority w:val="99"/>
    <w:rsid w:val="006F6B73"/>
    <w:rPr>
      <w:rFonts w:eastAsia="Times New Roman"/>
    </w:rPr>
  </w:style>
  <w:style w:type="character" w:customStyle="1" w:styleId="FootnoteTextChar">
    <w:name w:val="Footnote Text Char"/>
    <w:link w:val="FootnoteText"/>
    <w:uiPriority w:val="99"/>
    <w:rsid w:val="006F6B73"/>
    <w:rPr>
      <w:rFonts w:ascii="Courier New" w:eastAsia="Times New Roman" w:hAnsi="Courier New" w:cs="Courier New"/>
      <w:sz w:val="24"/>
      <w:szCs w:val="24"/>
    </w:rPr>
  </w:style>
  <w:style w:type="paragraph" w:styleId="Header">
    <w:name w:val="header"/>
    <w:basedOn w:val="Normal"/>
    <w:link w:val="HeaderChar"/>
    <w:uiPriority w:val="99"/>
    <w:unhideWhenUsed/>
    <w:rsid w:val="006F6B73"/>
    <w:pPr>
      <w:tabs>
        <w:tab w:val="center" w:pos="4680"/>
        <w:tab w:val="right" w:pos="9360"/>
      </w:tabs>
    </w:pPr>
    <w:rPr>
      <w:rFonts w:eastAsia="Times New Roman"/>
    </w:rPr>
  </w:style>
  <w:style w:type="character" w:customStyle="1" w:styleId="HeaderChar">
    <w:name w:val="Header Char"/>
    <w:link w:val="Header"/>
    <w:uiPriority w:val="99"/>
    <w:rsid w:val="006F6B73"/>
    <w:rPr>
      <w:rFonts w:ascii="Courier New" w:eastAsia="Times New Roman" w:hAnsi="Courier New" w:cs="Courier New"/>
      <w:sz w:val="20"/>
      <w:szCs w:val="20"/>
    </w:rPr>
  </w:style>
  <w:style w:type="paragraph" w:styleId="Footer">
    <w:name w:val="footer"/>
    <w:basedOn w:val="Normal"/>
    <w:link w:val="FooterChar"/>
    <w:uiPriority w:val="99"/>
    <w:unhideWhenUsed/>
    <w:rsid w:val="006F6B73"/>
    <w:pPr>
      <w:tabs>
        <w:tab w:val="center" w:pos="4680"/>
        <w:tab w:val="right" w:pos="9360"/>
      </w:tabs>
    </w:pPr>
    <w:rPr>
      <w:rFonts w:eastAsia="Times New Roman"/>
    </w:rPr>
  </w:style>
  <w:style w:type="character" w:customStyle="1" w:styleId="FooterChar">
    <w:name w:val="Footer Char"/>
    <w:link w:val="Footer"/>
    <w:uiPriority w:val="99"/>
    <w:rsid w:val="006F6B73"/>
    <w:rPr>
      <w:rFonts w:ascii="Courier New" w:eastAsia="Times New Roman" w:hAnsi="Courier New" w:cs="Courier New"/>
      <w:sz w:val="20"/>
      <w:szCs w:val="20"/>
    </w:rPr>
  </w:style>
  <w:style w:type="paragraph" w:styleId="Caption">
    <w:name w:val="caption"/>
    <w:basedOn w:val="Normal"/>
    <w:next w:val="Normal"/>
    <w:uiPriority w:val="99"/>
    <w:qFormat/>
    <w:rsid w:val="006F6B73"/>
    <w:rPr>
      <w:rFonts w:eastAsia="Times New Roman"/>
    </w:rPr>
  </w:style>
  <w:style w:type="character" w:styleId="FootnoteReference">
    <w:name w:val="footnote reference"/>
    <w:uiPriority w:val="99"/>
    <w:rsid w:val="006F6B73"/>
    <w:rPr>
      <w:vertAlign w:val="superscript"/>
    </w:rPr>
  </w:style>
  <w:style w:type="character" w:styleId="EndnoteReference">
    <w:name w:val="endnote reference"/>
    <w:uiPriority w:val="99"/>
    <w:rsid w:val="006F6B73"/>
    <w:rPr>
      <w:vertAlign w:val="superscript"/>
    </w:rPr>
  </w:style>
  <w:style w:type="paragraph" w:styleId="EndnoteText">
    <w:name w:val="endnote text"/>
    <w:basedOn w:val="Normal"/>
    <w:link w:val="EndnoteTextChar"/>
    <w:uiPriority w:val="99"/>
    <w:rsid w:val="006F6B73"/>
    <w:rPr>
      <w:rFonts w:eastAsia="Times New Roman"/>
    </w:rPr>
  </w:style>
  <w:style w:type="character" w:customStyle="1" w:styleId="EndnoteTextChar">
    <w:name w:val="Endnote Text Char"/>
    <w:link w:val="EndnoteText"/>
    <w:uiPriority w:val="99"/>
    <w:rsid w:val="006F6B73"/>
    <w:rPr>
      <w:rFonts w:ascii="Courier New" w:eastAsia="Times New Roman" w:hAnsi="Courier New" w:cs="Courier New"/>
      <w:sz w:val="24"/>
      <w:szCs w:val="24"/>
    </w:rPr>
  </w:style>
  <w:style w:type="paragraph" w:styleId="TOAHeading">
    <w:name w:val="toa heading"/>
    <w:basedOn w:val="Normal"/>
    <w:next w:val="Normal"/>
    <w:uiPriority w:val="99"/>
    <w:rsid w:val="006F6B73"/>
    <w:pPr>
      <w:tabs>
        <w:tab w:val="right" w:pos="9360"/>
      </w:tabs>
      <w:suppressAutoHyphens/>
      <w:spacing w:line="240" w:lineRule="atLeast"/>
    </w:pPr>
    <w:rPr>
      <w:rFonts w:eastAsia="Times New Roman"/>
    </w:rPr>
  </w:style>
  <w:style w:type="paragraph" w:styleId="NoSpacing">
    <w:name w:val="No Spacing"/>
    <w:uiPriority w:val="99"/>
    <w:qFormat/>
    <w:rsid w:val="00107997"/>
  </w:style>
  <w:style w:type="character" w:customStyle="1" w:styleId="Heading1Char">
    <w:name w:val="Heading 1 Char"/>
    <w:basedOn w:val="DefaultParagraphFont"/>
    <w:link w:val="Heading1"/>
    <w:uiPriority w:val="9"/>
    <w:rsid w:val="0094224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4224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4224A"/>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4224A"/>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94224A"/>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94224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94224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94224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94224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94224A"/>
    <w:pPr>
      <w:spacing w:after="80"/>
      <w:contextualSpacing/>
    </w:pPr>
    <w:rPr>
      <w:rFonts w:asciiTheme="majorHAnsi" w:eastAsiaTheme="majorEastAsia" w:hAnsiTheme="majorHAnsi" w:cstheme="majorBidi"/>
      <w:kern w:val="28"/>
      <w:sz w:val="56"/>
      <w:szCs w:val="56"/>
    </w:rPr>
  </w:style>
  <w:style w:type="character" w:customStyle="1" w:styleId="TitleChar">
    <w:name w:val="Title Char"/>
    <w:basedOn w:val="DefaultParagraphFont"/>
    <w:link w:val="Title"/>
    <w:uiPriority w:val="10"/>
    <w:rsid w:val="0094224A"/>
    <w:rPr>
      <w:rFonts w:asciiTheme="majorHAnsi" w:eastAsiaTheme="majorEastAsia" w:hAnsiTheme="majorHAnsi" w:cstheme="majorBidi"/>
      <w:kern w:val="28"/>
      <w:sz w:val="56"/>
      <w:szCs w:val="56"/>
    </w:rPr>
  </w:style>
  <w:style w:type="paragraph" w:styleId="Subtitle">
    <w:name w:val="Subtitle"/>
    <w:basedOn w:val="Normal"/>
    <w:next w:val="Normal"/>
    <w:link w:val="SubtitleChar"/>
    <w:uiPriority w:val="11"/>
    <w:qFormat/>
    <w:rsid w:val="0094224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4224A"/>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94224A"/>
    <w:pPr>
      <w:spacing w:before="160"/>
      <w:jc w:val="center"/>
    </w:pPr>
    <w:rPr>
      <w:i/>
      <w:iCs/>
      <w:color w:val="404040" w:themeColor="text1" w:themeTint="BF"/>
    </w:rPr>
  </w:style>
  <w:style w:type="character" w:customStyle="1" w:styleId="QuoteChar">
    <w:name w:val="Quote Char"/>
    <w:basedOn w:val="DefaultParagraphFont"/>
    <w:link w:val="Quote"/>
    <w:uiPriority w:val="29"/>
    <w:rsid w:val="0094224A"/>
    <w:rPr>
      <w:i/>
      <w:iCs/>
      <w:color w:val="404040" w:themeColor="text1" w:themeTint="BF"/>
    </w:rPr>
  </w:style>
  <w:style w:type="paragraph" w:styleId="ListParagraph">
    <w:name w:val="List Paragraph"/>
    <w:basedOn w:val="Normal"/>
    <w:uiPriority w:val="34"/>
    <w:qFormat/>
    <w:rsid w:val="0094224A"/>
    <w:pPr>
      <w:ind w:left="720"/>
      <w:contextualSpacing/>
    </w:pPr>
  </w:style>
  <w:style w:type="character" w:styleId="IntenseEmphasis">
    <w:name w:val="Intense Emphasis"/>
    <w:basedOn w:val="DefaultParagraphFont"/>
    <w:uiPriority w:val="21"/>
    <w:qFormat/>
    <w:rsid w:val="0094224A"/>
    <w:rPr>
      <w:i/>
      <w:iCs/>
      <w:color w:val="0F4761" w:themeColor="accent1" w:themeShade="BF"/>
    </w:rPr>
  </w:style>
  <w:style w:type="paragraph" w:styleId="IntenseQuote">
    <w:name w:val="Intense Quote"/>
    <w:basedOn w:val="Normal"/>
    <w:next w:val="Normal"/>
    <w:link w:val="IntenseQuoteChar"/>
    <w:uiPriority w:val="30"/>
    <w:qFormat/>
    <w:rsid w:val="0094224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4224A"/>
    <w:rPr>
      <w:i/>
      <w:iCs/>
      <w:color w:val="0F4761" w:themeColor="accent1" w:themeShade="BF"/>
    </w:rPr>
  </w:style>
  <w:style w:type="character" w:styleId="IntenseReference">
    <w:name w:val="Intense Reference"/>
    <w:basedOn w:val="DefaultParagraphFont"/>
    <w:uiPriority w:val="32"/>
    <w:qFormat/>
    <w:rsid w:val="0094224A"/>
    <w:rPr>
      <w:b/>
      <w:bCs/>
      <w:smallCaps/>
      <w:color w:val="0F4761" w:themeColor="accent1" w:themeShade="BF"/>
      <w:spacing w:val="5"/>
    </w:rPr>
  </w:style>
  <w:style w:type="paragraph" w:customStyle="1" w:styleId="L11-1">
    <w:name w:val="L11-1"/>
    <w:uiPriority w:val="99"/>
    <w:rsid w:val="0094224A"/>
    <w:pPr>
      <w:widowControl w:val="0"/>
      <w:autoSpaceDE w:val="0"/>
      <w:autoSpaceDN w:val="0"/>
      <w:adjustRightInd w:val="0"/>
      <w:ind w:left="2078" w:hanging="494"/>
    </w:pPr>
    <w:rPr>
      <w:rFonts w:eastAsiaTheme="minorEastAsia"/>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463</Words>
  <Characters>2372</Characters>
  <Application>Microsoft Office Word</Application>
  <DocSecurity>0</DocSecurity>
  <Lines>49</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31</cp:revision>
  <dcterms:created xsi:type="dcterms:W3CDTF">2025-01-17T23:07:00Z</dcterms:created>
  <dcterms:modified xsi:type="dcterms:W3CDTF">2025-03-12T20:14:00Z</dcterms:modified>
</cp:coreProperties>
</file>