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7B60686" w14:textId="77D86322" w:rsidR="00FA0138" w:rsidRPr="00EB5B72" w:rsidRDefault="00FA0138" w:rsidP="008703D5">
      <w:pPr>
        <w:spacing w:before="0"/>
        <w:rPr>
          <w:b/>
          <w:bCs/>
          <w:sz w:val="28"/>
          <w:szCs w:val="28"/>
        </w:rPr>
      </w:pPr>
      <w:r w:rsidRPr="00EB5B72">
        <w:rPr>
          <w:b/>
          <w:bCs/>
          <w:sz w:val="28"/>
          <w:szCs w:val="28"/>
          <w:lang w:val="en-CA"/>
        </w:rPr>
        <w:fldChar w:fldCharType="begin"/>
      </w:r>
      <w:r w:rsidRPr="00EB5B72">
        <w:rPr>
          <w:b/>
          <w:bCs/>
          <w:sz w:val="28"/>
          <w:szCs w:val="28"/>
          <w:lang w:val="en-CA"/>
        </w:rPr>
        <w:instrText xml:space="preserve"> SEQ CHAPTER \h \r 1</w:instrText>
      </w:r>
      <w:r w:rsidRPr="00EB5B72">
        <w:rPr>
          <w:sz w:val="28"/>
          <w:szCs w:val="28"/>
        </w:rPr>
        <w:fldChar w:fldCharType="end"/>
      </w:r>
      <w:r w:rsidRPr="00EB5B72">
        <w:rPr>
          <w:b/>
          <w:bCs/>
          <w:sz w:val="28"/>
          <w:szCs w:val="28"/>
        </w:rPr>
        <w:t>4.</w:t>
      </w:r>
      <w:r w:rsidR="00BB363D" w:rsidRPr="00EB5B72">
        <w:rPr>
          <w:b/>
          <w:bCs/>
          <w:sz w:val="28"/>
          <w:szCs w:val="28"/>
        </w:rPr>
        <w:t>09</w:t>
      </w:r>
      <w:r w:rsidRPr="00EB5B72">
        <w:rPr>
          <w:b/>
          <w:bCs/>
          <w:sz w:val="28"/>
          <w:szCs w:val="28"/>
        </w:rPr>
        <w:t xml:space="preserve"> Character Evidence</w:t>
      </w:r>
      <w:r w:rsidR="00CD40B4" w:rsidRPr="00EB5B72">
        <w:rPr>
          <w:b/>
          <w:bCs/>
          <w:sz w:val="28"/>
          <w:szCs w:val="28"/>
        </w:rPr>
        <w:t xml:space="preserve"> &amp; </w:t>
      </w:r>
      <w:r w:rsidRPr="00EB5B72">
        <w:rPr>
          <w:b/>
          <w:bCs/>
          <w:sz w:val="28"/>
          <w:szCs w:val="28"/>
        </w:rPr>
        <w:t>Method of Proof</w:t>
      </w:r>
      <w:r w:rsidR="003D097B" w:rsidRPr="00EB5B72">
        <w:rPr>
          <w:rStyle w:val="EndnoteReference"/>
          <w:b/>
          <w:bCs/>
          <w:sz w:val="28"/>
          <w:szCs w:val="28"/>
        </w:rPr>
        <w:endnoteReference w:id="1"/>
      </w:r>
    </w:p>
    <w:p w14:paraId="1D2542BC" w14:textId="77777777" w:rsidR="00FA0138" w:rsidRPr="00EB5B72" w:rsidRDefault="00FA0138" w:rsidP="008703D5">
      <w:pPr>
        <w:spacing w:before="0"/>
        <w:rPr>
          <w:b/>
          <w:bCs/>
          <w:sz w:val="28"/>
          <w:szCs w:val="28"/>
        </w:rPr>
      </w:pPr>
    </w:p>
    <w:p w14:paraId="397DEA1C" w14:textId="618CE9EB" w:rsidR="00FA0138" w:rsidRPr="00EB5B72" w:rsidRDefault="00ED3D30" w:rsidP="008703D5">
      <w:pPr>
        <w:numPr>
          <w:ilvl w:val="0"/>
          <w:numId w:val="1"/>
        </w:numPr>
        <w:spacing w:before="0"/>
        <w:rPr>
          <w:b/>
          <w:bCs/>
          <w:sz w:val="28"/>
          <w:szCs w:val="28"/>
        </w:rPr>
      </w:pPr>
      <w:r w:rsidRPr="00EB5B72">
        <w:rPr>
          <w:b/>
          <w:bCs/>
          <w:sz w:val="28"/>
          <w:szCs w:val="28"/>
        </w:rPr>
        <w:t xml:space="preserve"> </w:t>
      </w:r>
      <w:r w:rsidR="00FA0138" w:rsidRPr="00EB5B72">
        <w:rPr>
          <w:b/>
          <w:bCs/>
          <w:sz w:val="28"/>
          <w:szCs w:val="28"/>
        </w:rPr>
        <w:t xml:space="preserve">Admissibility. </w:t>
      </w:r>
    </w:p>
    <w:p w14:paraId="6B87E1C4" w14:textId="77777777" w:rsidR="00A23E66" w:rsidRPr="00EB5B72" w:rsidRDefault="00A23E66" w:rsidP="00A23E66">
      <w:pPr>
        <w:spacing w:before="0"/>
        <w:ind w:left="720"/>
        <w:rPr>
          <w:b/>
          <w:bCs/>
          <w:sz w:val="28"/>
          <w:szCs w:val="28"/>
        </w:rPr>
      </w:pPr>
    </w:p>
    <w:p w14:paraId="2E8AF669" w14:textId="77777777" w:rsidR="00FA0138" w:rsidRPr="00EB5B72" w:rsidRDefault="00FA0138" w:rsidP="008703D5">
      <w:pPr>
        <w:numPr>
          <w:ilvl w:val="0"/>
          <w:numId w:val="2"/>
        </w:numPr>
        <w:spacing w:before="0"/>
        <w:ind w:left="1440" w:right="720" w:hanging="360"/>
        <w:jc w:val="both"/>
        <w:rPr>
          <w:b/>
          <w:bCs/>
          <w:sz w:val="28"/>
          <w:szCs w:val="28"/>
        </w:rPr>
      </w:pPr>
      <w:r w:rsidRPr="00EB5B72">
        <w:rPr>
          <w:b/>
          <w:bCs/>
          <w:sz w:val="28"/>
          <w:szCs w:val="28"/>
        </w:rPr>
        <w:t>Evidence of a person’s character is not admissible to prove that the person acted in conformity therewith on a particular occasion.</w:t>
      </w:r>
    </w:p>
    <w:p w14:paraId="241BE380" w14:textId="77777777" w:rsidR="00FA0138" w:rsidRPr="00EB5B72" w:rsidRDefault="00FA0138" w:rsidP="008703D5">
      <w:pPr>
        <w:spacing w:before="0"/>
        <w:ind w:right="720"/>
        <w:rPr>
          <w:b/>
          <w:bCs/>
          <w:sz w:val="28"/>
          <w:szCs w:val="28"/>
        </w:rPr>
      </w:pPr>
    </w:p>
    <w:p w14:paraId="5CF378AB" w14:textId="77777777" w:rsidR="00FA0138" w:rsidRPr="00EB5B72" w:rsidRDefault="00FA0138" w:rsidP="008703D5">
      <w:pPr>
        <w:numPr>
          <w:ilvl w:val="0"/>
          <w:numId w:val="2"/>
        </w:numPr>
        <w:spacing w:before="0"/>
        <w:ind w:left="1440" w:right="720" w:hanging="360"/>
        <w:jc w:val="both"/>
        <w:rPr>
          <w:b/>
          <w:bCs/>
          <w:sz w:val="28"/>
          <w:szCs w:val="28"/>
        </w:rPr>
      </w:pPr>
      <w:r w:rsidRPr="00EB5B72">
        <w:rPr>
          <w:b/>
          <w:bCs/>
          <w:sz w:val="28"/>
          <w:szCs w:val="28"/>
        </w:rPr>
        <w:t>Evidence of a defendant’s bad reputation for a character trait is not admissible unless the defendant first offers evidence of his or her good reputation for that character trait.</w:t>
      </w:r>
    </w:p>
    <w:p w14:paraId="036929CB" w14:textId="77777777" w:rsidR="00FA0138" w:rsidRPr="00EB5B72" w:rsidRDefault="00FA0138" w:rsidP="008703D5">
      <w:pPr>
        <w:spacing w:before="0"/>
        <w:rPr>
          <w:b/>
          <w:bCs/>
          <w:sz w:val="28"/>
          <w:szCs w:val="28"/>
        </w:rPr>
      </w:pPr>
    </w:p>
    <w:p w14:paraId="7474F2E9" w14:textId="77777777" w:rsidR="00FA0138" w:rsidRPr="00EB5B72" w:rsidRDefault="00FA0138" w:rsidP="008703D5">
      <w:pPr>
        <w:numPr>
          <w:ilvl w:val="0"/>
          <w:numId w:val="1"/>
        </w:numPr>
        <w:spacing w:before="0"/>
        <w:rPr>
          <w:b/>
          <w:bCs/>
          <w:sz w:val="28"/>
          <w:szCs w:val="28"/>
        </w:rPr>
      </w:pPr>
      <w:r w:rsidRPr="00EB5B72">
        <w:rPr>
          <w:b/>
          <w:bCs/>
          <w:sz w:val="28"/>
          <w:szCs w:val="28"/>
        </w:rPr>
        <w:t xml:space="preserve"> Notwithstanding subdivision (1) (a):</w:t>
      </w:r>
    </w:p>
    <w:p w14:paraId="4597CE41" w14:textId="77777777" w:rsidR="00FA0138" w:rsidRPr="00EB5B72" w:rsidRDefault="00FA0138" w:rsidP="008703D5">
      <w:pPr>
        <w:spacing w:before="0"/>
        <w:rPr>
          <w:b/>
          <w:bCs/>
          <w:sz w:val="28"/>
          <w:szCs w:val="28"/>
        </w:rPr>
      </w:pPr>
    </w:p>
    <w:p w14:paraId="6BD065F5" w14:textId="5399B8FF" w:rsidR="00FA0138" w:rsidRPr="00EB5B72" w:rsidRDefault="00ED3D30" w:rsidP="008703D5">
      <w:pPr>
        <w:numPr>
          <w:ilvl w:val="0"/>
          <w:numId w:val="3"/>
        </w:numPr>
        <w:spacing w:before="0"/>
        <w:ind w:left="1440" w:right="720"/>
        <w:jc w:val="both"/>
        <w:rPr>
          <w:b/>
          <w:bCs/>
          <w:sz w:val="28"/>
          <w:szCs w:val="28"/>
        </w:rPr>
      </w:pPr>
      <w:r w:rsidRPr="00EB5B72">
        <w:rPr>
          <w:b/>
          <w:bCs/>
          <w:sz w:val="28"/>
          <w:szCs w:val="28"/>
        </w:rPr>
        <w:t xml:space="preserve"> </w:t>
      </w:r>
      <w:r w:rsidR="008B7508" w:rsidRPr="00EB5B72">
        <w:rPr>
          <w:b/>
          <w:bCs/>
          <w:sz w:val="28"/>
          <w:szCs w:val="28"/>
        </w:rPr>
        <w:t>I</w:t>
      </w:r>
      <w:r w:rsidR="00FA0138" w:rsidRPr="00EB5B72">
        <w:rPr>
          <w:b/>
          <w:bCs/>
          <w:sz w:val="28"/>
          <w:szCs w:val="28"/>
        </w:rPr>
        <w:t xml:space="preserve">n a civil or criminal proceeding, evidence of a person’s character is admissible where </w:t>
      </w:r>
      <w:r w:rsidR="008448FF" w:rsidRPr="00EB5B72">
        <w:rPr>
          <w:b/>
          <w:sz w:val="28"/>
          <w:szCs w:val="28"/>
        </w:rPr>
        <w:t xml:space="preserve">character </w:t>
      </w:r>
      <w:r w:rsidR="003B1DE9" w:rsidRPr="00EB5B72">
        <w:rPr>
          <w:b/>
          <w:bCs/>
          <w:sz w:val="28"/>
          <w:szCs w:val="28"/>
        </w:rPr>
        <w:t xml:space="preserve">or </w:t>
      </w:r>
      <w:r w:rsidR="00A16977" w:rsidRPr="00EB5B72">
        <w:rPr>
          <w:b/>
          <w:bCs/>
          <w:sz w:val="28"/>
          <w:szCs w:val="28"/>
        </w:rPr>
        <w:t xml:space="preserve">a </w:t>
      </w:r>
      <w:r w:rsidR="003B1DE9" w:rsidRPr="00EB5B72">
        <w:rPr>
          <w:b/>
          <w:bCs/>
          <w:sz w:val="28"/>
          <w:szCs w:val="28"/>
        </w:rPr>
        <w:t xml:space="preserve">character trait is </w:t>
      </w:r>
      <w:r w:rsidR="008448FF" w:rsidRPr="00EB5B72">
        <w:rPr>
          <w:b/>
          <w:bCs/>
          <w:sz w:val="28"/>
          <w:szCs w:val="28"/>
        </w:rPr>
        <w:t xml:space="preserve">in issue as a matter of substantive law. </w:t>
      </w:r>
    </w:p>
    <w:p w14:paraId="34E459BF" w14:textId="77777777" w:rsidR="00FA0138" w:rsidRPr="00EB5B72" w:rsidRDefault="00FA0138" w:rsidP="008703D5">
      <w:pPr>
        <w:spacing w:before="0"/>
        <w:ind w:right="576"/>
        <w:rPr>
          <w:b/>
          <w:bCs/>
          <w:sz w:val="28"/>
          <w:szCs w:val="28"/>
        </w:rPr>
      </w:pPr>
    </w:p>
    <w:p w14:paraId="7ACD1B41" w14:textId="4B5AEFE5" w:rsidR="00A1744F" w:rsidRPr="00EB5B72" w:rsidRDefault="00ED3D30" w:rsidP="008703D5">
      <w:pPr>
        <w:numPr>
          <w:ilvl w:val="0"/>
          <w:numId w:val="3"/>
        </w:numPr>
        <w:spacing w:before="0"/>
        <w:ind w:left="1440" w:right="720"/>
        <w:jc w:val="both"/>
        <w:rPr>
          <w:b/>
          <w:bCs/>
          <w:sz w:val="28"/>
          <w:szCs w:val="28"/>
        </w:rPr>
      </w:pPr>
      <w:r w:rsidRPr="00EB5B72">
        <w:rPr>
          <w:b/>
          <w:bCs/>
          <w:sz w:val="28"/>
          <w:szCs w:val="28"/>
        </w:rPr>
        <w:t xml:space="preserve"> </w:t>
      </w:r>
      <w:r w:rsidR="00FA0138" w:rsidRPr="00EB5B72">
        <w:rPr>
          <w:b/>
          <w:bCs/>
          <w:sz w:val="28"/>
          <w:szCs w:val="28"/>
        </w:rPr>
        <w:t xml:space="preserve">In a criminal proceeding, defendant may offer evidence of character that is relevant to prove the defendant acted in conformity therewith on a particular occasion, and, if the evidence is admitted, the People may </w:t>
      </w:r>
      <w:r w:rsidR="00A1744F" w:rsidRPr="00EB5B72">
        <w:rPr>
          <w:b/>
          <w:bCs/>
          <w:sz w:val="28"/>
          <w:szCs w:val="28"/>
        </w:rPr>
        <w:t xml:space="preserve">present evidence to </w:t>
      </w:r>
      <w:r w:rsidR="00FA0138" w:rsidRPr="00EB5B72">
        <w:rPr>
          <w:b/>
          <w:bCs/>
          <w:sz w:val="28"/>
          <w:szCs w:val="28"/>
        </w:rPr>
        <w:t>rebut</w:t>
      </w:r>
      <w:r w:rsidR="00A1744F" w:rsidRPr="00EB5B72">
        <w:rPr>
          <w:b/>
          <w:bCs/>
          <w:sz w:val="28"/>
          <w:szCs w:val="28"/>
        </w:rPr>
        <w:t xml:space="preserve"> the defendant’s character evidence.</w:t>
      </w:r>
    </w:p>
    <w:p w14:paraId="23946A55" w14:textId="77777777" w:rsidR="00FA0138" w:rsidRPr="00EB5B72" w:rsidRDefault="00FA0138" w:rsidP="008703D5">
      <w:pPr>
        <w:spacing w:before="0"/>
        <w:ind w:right="576"/>
        <w:rPr>
          <w:b/>
          <w:bCs/>
          <w:strike/>
          <w:sz w:val="28"/>
          <w:szCs w:val="28"/>
        </w:rPr>
      </w:pPr>
    </w:p>
    <w:p w14:paraId="0FC00949" w14:textId="114D679F" w:rsidR="00FA0138" w:rsidRPr="00EB5B72" w:rsidRDefault="00ED3D30" w:rsidP="008703D5">
      <w:pPr>
        <w:numPr>
          <w:ilvl w:val="0"/>
          <w:numId w:val="1"/>
        </w:numPr>
        <w:spacing w:before="0"/>
        <w:ind w:right="720"/>
        <w:jc w:val="both"/>
        <w:rPr>
          <w:b/>
          <w:bCs/>
          <w:sz w:val="28"/>
          <w:szCs w:val="28"/>
        </w:rPr>
      </w:pPr>
      <w:r w:rsidRPr="00EB5B72">
        <w:rPr>
          <w:b/>
          <w:bCs/>
          <w:sz w:val="28"/>
          <w:szCs w:val="28"/>
        </w:rPr>
        <w:t xml:space="preserve"> </w:t>
      </w:r>
      <w:r w:rsidR="00FA0138" w:rsidRPr="00EB5B72">
        <w:rPr>
          <w:b/>
          <w:bCs/>
          <w:sz w:val="28"/>
          <w:szCs w:val="28"/>
        </w:rPr>
        <w:t>The credibility of a witness who has given substantive evidence may be impeached by evidence of the witness’s reputation for untruthfulness in the community as set forth in Guide to N</w:t>
      </w:r>
      <w:r w:rsidRPr="00EB5B72">
        <w:rPr>
          <w:b/>
          <w:bCs/>
          <w:sz w:val="28"/>
          <w:szCs w:val="28"/>
        </w:rPr>
        <w:t xml:space="preserve">ew </w:t>
      </w:r>
      <w:r w:rsidR="00FA0138" w:rsidRPr="00EB5B72">
        <w:rPr>
          <w:b/>
          <w:bCs/>
          <w:sz w:val="28"/>
          <w:szCs w:val="28"/>
        </w:rPr>
        <w:t>Y</w:t>
      </w:r>
      <w:r w:rsidRPr="00EB5B72">
        <w:rPr>
          <w:b/>
          <w:bCs/>
          <w:sz w:val="28"/>
          <w:szCs w:val="28"/>
        </w:rPr>
        <w:t>ork</w:t>
      </w:r>
      <w:r w:rsidR="00FA0138" w:rsidRPr="00EB5B72">
        <w:rPr>
          <w:b/>
          <w:bCs/>
          <w:sz w:val="28"/>
          <w:szCs w:val="28"/>
        </w:rPr>
        <w:t xml:space="preserve"> Evidence rule 6.23.</w:t>
      </w:r>
    </w:p>
    <w:p w14:paraId="5530F728" w14:textId="77777777" w:rsidR="00FA0138" w:rsidRPr="00EB5B72" w:rsidRDefault="00FA0138" w:rsidP="008703D5">
      <w:pPr>
        <w:spacing w:before="0"/>
        <w:rPr>
          <w:b/>
          <w:bCs/>
          <w:sz w:val="28"/>
          <w:szCs w:val="28"/>
        </w:rPr>
      </w:pPr>
    </w:p>
    <w:p w14:paraId="528697DD" w14:textId="40BF9895" w:rsidR="00FA0138" w:rsidRPr="00EB5B72" w:rsidRDefault="00ED3D30" w:rsidP="008703D5">
      <w:pPr>
        <w:numPr>
          <w:ilvl w:val="0"/>
          <w:numId w:val="1"/>
        </w:numPr>
        <w:spacing w:before="0"/>
        <w:ind w:right="720"/>
        <w:jc w:val="both"/>
        <w:rPr>
          <w:b/>
          <w:bCs/>
          <w:sz w:val="28"/>
          <w:szCs w:val="28"/>
        </w:rPr>
      </w:pPr>
      <w:r w:rsidRPr="00EB5B72">
        <w:rPr>
          <w:b/>
          <w:bCs/>
          <w:sz w:val="28"/>
          <w:szCs w:val="28"/>
        </w:rPr>
        <w:t xml:space="preserve"> </w:t>
      </w:r>
      <w:r w:rsidR="00FA0138" w:rsidRPr="00EB5B72">
        <w:rPr>
          <w:b/>
          <w:bCs/>
          <w:sz w:val="28"/>
          <w:szCs w:val="28"/>
        </w:rPr>
        <w:t xml:space="preserve">Method of Proof. When evidence of a person’s character is admissible, proof thereof may not be proved by evidence of specific acts of a person, or by a witness’s opinion of a person’s character, but rather only by testimony as to that person’s reputation among </w:t>
      </w:r>
      <w:r w:rsidR="00FA0138" w:rsidRPr="00EB5B72">
        <w:rPr>
          <w:b/>
          <w:bCs/>
          <w:sz w:val="28"/>
          <w:szCs w:val="28"/>
        </w:rPr>
        <w:lastRenderedPageBreak/>
        <w:t xml:space="preserve">a “community of individuals” for the relevant character. </w:t>
      </w:r>
    </w:p>
    <w:p w14:paraId="107CED6D" w14:textId="77777777" w:rsidR="00FA0138" w:rsidRPr="00EB5B72" w:rsidRDefault="00FA0138" w:rsidP="008703D5">
      <w:pPr>
        <w:spacing w:before="0"/>
        <w:rPr>
          <w:b/>
          <w:bCs/>
          <w:sz w:val="28"/>
          <w:szCs w:val="28"/>
        </w:rPr>
      </w:pPr>
    </w:p>
    <w:p w14:paraId="23AD36E8" w14:textId="75F6CE2F" w:rsidR="00FA0138" w:rsidRPr="00EB5B72" w:rsidRDefault="00ED3D30" w:rsidP="008703D5">
      <w:pPr>
        <w:numPr>
          <w:ilvl w:val="0"/>
          <w:numId w:val="4"/>
        </w:numPr>
        <w:spacing w:before="0"/>
        <w:ind w:left="1440" w:right="720"/>
        <w:jc w:val="both"/>
        <w:rPr>
          <w:b/>
          <w:bCs/>
          <w:sz w:val="28"/>
          <w:szCs w:val="28"/>
        </w:rPr>
      </w:pPr>
      <w:r w:rsidRPr="00EB5B72">
        <w:rPr>
          <w:b/>
          <w:bCs/>
          <w:sz w:val="28"/>
          <w:szCs w:val="28"/>
        </w:rPr>
        <w:t xml:space="preserve"> </w:t>
      </w:r>
      <w:r w:rsidR="00FA0138" w:rsidRPr="00EB5B72">
        <w:rPr>
          <w:b/>
          <w:bCs/>
          <w:sz w:val="28"/>
          <w:szCs w:val="28"/>
        </w:rPr>
        <w:t>A “community of individuals” exists wherever the person’s associations are of such quantity and quality as to permit the person to be personally observed</w:t>
      </w:r>
      <w:r w:rsidR="00FA0138" w:rsidRPr="00EB5B72">
        <w:rPr>
          <w:b/>
          <w:bCs/>
          <w:sz w:val="28"/>
          <w:szCs w:val="28"/>
          <w:vertAlign w:val="subscript"/>
        </w:rPr>
        <w:t xml:space="preserve"> </w:t>
      </w:r>
      <w:r w:rsidR="00FA0138" w:rsidRPr="00EB5B72">
        <w:rPr>
          <w:b/>
          <w:bCs/>
          <w:sz w:val="28"/>
          <w:szCs w:val="28"/>
        </w:rPr>
        <w:t xml:space="preserve">by a sufficient number of individuals to give reasonable assurance of reliability of that reputation. </w:t>
      </w:r>
    </w:p>
    <w:p w14:paraId="4720209F" w14:textId="77777777" w:rsidR="00FA0138" w:rsidRPr="00EB5B72" w:rsidRDefault="00FA0138" w:rsidP="008703D5">
      <w:pPr>
        <w:spacing w:before="0"/>
        <w:ind w:right="720"/>
        <w:rPr>
          <w:b/>
          <w:bCs/>
          <w:sz w:val="28"/>
          <w:szCs w:val="28"/>
        </w:rPr>
      </w:pPr>
    </w:p>
    <w:p w14:paraId="36905266" w14:textId="77777777" w:rsidR="00FA0138" w:rsidRPr="00EB5B72" w:rsidRDefault="00FA0138" w:rsidP="008703D5">
      <w:pPr>
        <w:numPr>
          <w:ilvl w:val="0"/>
          <w:numId w:val="4"/>
        </w:numPr>
        <w:spacing w:before="0"/>
        <w:ind w:left="1440" w:right="720"/>
        <w:jc w:val="both"/>
        <w:rPr>
          <w:b/>
          <w:bCs/>
          <w:sz w:val="28"/>
          <w:szCs w:val="28"/>
        </w:rPr>
      </w:pPr>
      <w:r w:rsidRPr="00EB5B72">
        <w:rPr>
          <w:b/>
          <w:bCs/>
          <w:sz w:val="28"/>
          <w:szCs w:val="28"/>
        </w:rPr>
        <w:t xml:space="preserve"> The foundation for the admission of such reputation evidence requires that a witness testify to views of a sufficient number of the community of individuals who have had sufficient experience with the person whose reputation is being testified to. </w:t>
      </w:r>
    </w:p>
    <w:p w14:paraId="59B5D657" w14:textId="77777777" w:rsidR="00FA0138" w:rsidRPr="00EB5B72" w:rsidRDefault="00FA0138" w:rsidP="008703D5">
      <w:pPr>
        <w:spacing w:before="0"/>
        <w:rPr>
          <w:b/>
          <w:bCs/>
          <w:sz w:val="28"/>
          <w:szCs w:val="28"/>
        </w:rPr>
      </w:pPr>
    </w:p>
    <w:p w14:paraId="2FECA5CB" w14:textId="0F5B29F2" w:rsidR="00FA0138" w:rsidRPr="00EB5B72" w:rsidRDefault="00ED3D30" w:rsidP="008703D5">
      <w:pPr>
        <w:numPr>
          <w:ilvl w:val="0"/>
          <w:numId w:val="5"/>
        </w:numPr>
        <w:spacing w:before="0"/>
        <w:ind w:right="720"/>
        <w:rPr>
          <w:b/>
          <w:bCs/>
          <w:sz w:val="28"/>
          <w:szCs w:val="28"/>
        </w:rPr>
      </w:pPr>
      <w:r w:rsidRPr="00EB5B72">
        <w:rPr>
          <w:b/>
          <w:bCs/>
          <w:sz w:val="28"/>
          <w:szCs w:val="28"/>
        </w:rPr>
        <w:t xml:space="preserve"> </w:t>
      </w:r>
      <w:r w:rsidR="00FA0138" w:rsidRPr="00EB5B72">
        <w:rPr>
          <w:b/>
          <w:bCs/>
          <w:sz w:val="28"/>
          <w:szCs w:val="28"/>
        </w:rPr>
        <w:t xml:space="preserve">Notwithstanding subdivision (4): </w:t>
      </w:r>
    </w:p>
    <w:p w14:paraId="24A11C96" w14:textId="77777777" w:rsidR="00FA0138" w:rsidRPr="00EB5B72" w:rsidRDefault="00FA0138" w:rsidP="008703D5">
      <w:pPr>
        <w:spacing w:before="0"/>
        <w:rPr>
          <w:b/>
          <w:bCs/>
          <w:sz w:val="28"/>
          <w:szCs w:val="28"/>
        </w:rPr>
      </w:pPr>
    </w:p>
    <w:p w14:paraId="53D2770A" w14:textId="5074EC34" w:rsidR="00FA0138" w:rsidRPr="00EB5B72" w:rsidRDefault="00ED3D30" w:rsidP="008703D5">
      <w:pPr>
        <w:numPr>
          <w:ilvl w:val="0"/>
          <w:numId w:val="6"/>
        </w:numPr>
        <w:spacing w:before="0"/>
        <w:ind w:left="1440" w:right="720" w:hanging="360"/>
        <w:jc w:val="both"/>
        <w:rPr>
          <w:b/>
          <w:bCs/>
          <w:sz w:val="28"/>
          <w:szCs w:val="28"/>
        </w:rPr>
      </w:pPr>
      <w:r w:rsidRPr="00EB5B72">
        <w:rPr>
          <w:b/>
          <w:bCs/>
          <w:sz w:val="28"/>
          <w:szCs w:val="28"/>
        </w:rPr>
        <w:t xml:space="preserve"> </w:t>
      </w:r>
      <w:r w:rsidR="00215B6B" w:rsidRPr="00EB5B72">
        <w:rPr>
          <w:b/>
          <w:bCs/>
          <w:sz w:val="28"/>
          <w:szCs w:val="28"/>
        </w:rPr>
        <w:t>I</w:t>
      </w:r>
      <w:r w:rsidR="00FA0138" w:rsidRPr="00EB5B72">
        <w:rPr>
          <w:b/>
          <w:bCs/>
          <w:sz w:val="28"/>
          <w:szCs w:val="28"/>
        </w:rPr>
        <w:t xml:space="preserve">n a criminal proceeding, </w:t>
      </w:r>
      <w:r w:rsidR="00215B6B" w:rsidRPr="00EB5B72">
        <w:rPr>
          <w:b/>
          <w:bCs/>
          <w:sz w:val="28"/>
          <w:szCs w:val="28"/>
        </w:rPr>
        <w:t xml:space="preserve">if a defendant </w:t>
      </w:r>
      <w:r w:rsidR="00FA0138" w:rsidRPr="00EB5B72">
        <w:rPr>
          <w:b/>
          <w:bCs/>
          <w:sz w:val="28"/>
          <w:szCs w:val="28"/>
        </w:rPr>
        <w:t xml:space="preserve">through the testimony of a witness called by the </w:t>
      </w:r>
      <w:r w:rsidR="00EC49F2" w:rsidRPr="00EB5B72">
        <w:rPr>
          <w:b/>
          <w:bCs/>
          <w:sz w:val="28"/>
          <w:szCs w:val="28"/>
        </w:rPr>
        <w:t>defendant</w:t>
      </w:r>
      <w:r w:rsidR="00FA0138" w:rsidRPr="00EB5B72">
        <w:rPr>
          <w:b/>
          <w:bCs/>
          <w:sz w:val="28"/>
          <w:szCs w:val="28"/>
        </w:rPr>
        <w:t xml:space="preserve"> offers evidence of his or her good character, the People may independently prove any previous conviction of the defendant for an offense that would tend to negate any character trait or quality attributed to the defendant in that witness’</w:t>
      </w:r>
      <w:r w:rsidR="00F855E1" w:rsidRPr="00EB5B72">
        <w:rPr>
          <w:b/>
          <w:bCs/>
          <w:sz w:val="28"/>
          <w:szCs w:val="28"/>
        </w:rPr>
        <w:t>s</w:t>
      </w:r>
      <w:r w:rsidR="00FA0138" w:rsidRPr="00EB5B72">
        <w:rPr>
          <w:b/>
          <w:bCs/>
          <w:sz w:val="28"/>
          <w:szCs w:val="28"/>
        </w:rPr>
        <w:t xml:space="preserve"> testimony.</w:t>
      </w:r>
    </w:p>
    <w:p w14:paraId="51E7037A" w14:textId="77777777" w:rsidR="00076824" w:rsidRPr="00EB5B72" w:rsidRDefault="00076824" w:rsidP="008703D5">
      <w:pPr>
        <w:spacing w:before="0"/>
        <w:ind w:right="720"/>
        <w:jc w:val="both"/>
        <w:rPr>
          <w:b/>
          <w:bCs/>
          <w:sz w:val="28"/>
          <w:szCs w:val="28"/>
        </w:rPr>
      </w:pPr>
    </w:p>
    <w:p w14:paraId="1625ED3C" w14:textId="4E95CF95" w:rsidR="00076824" w:rsidRPr="00EB5B72" w:rsidRDefault="00076824" w:rsidP="008703D5">
      <w:pPr>
        <w:numPr>
          <w:ilvl w:val="0"/>
          <w:numId w:val="6"/>
        </w:numPr>
        <w:spacing w:before="0"/>
        <w:ind w:left="1440" w:right="720" w:hanging="360"/>
        <w:jc w:val="both"/>
        <w:rPr>
          <w:b/>
          <w:bCs/>
          <w:sz w:val="28"/>
          <w:szCs w:val="28"/>
        </w:rPr>
      </w:pPr>
      <w:r w:rsidRPr="00EB5B72">
        <w:rPr>
          <w:b/>
          <w:bCs/>
          <w:sz w:val="28"/>
          <w:szCs w:val="28"/>
        </w:rPr>
        <w:t xml:space="preserve"> </w:t>
      </w:r>
      <w:r w:rsidR="00D60CD6" w:rsidRPr="00EB5B72">
        <w:rPr>
          <w:b/>
          <w:sz w:val="28"/>
          <w:szCs w:val="28"/>
        </w:rPr>
        <w:t xml:space="preserve">In a criminal proceeding, </w:t>
      </w:r>
      <w:r w:rsidR="000B5F5E" w:rsidRPr="00EB5B72">
        <w:rPr>
          <w:b/>
          <w:sz w:val="28"/>
          <w:szCs w:val="28"/>
        </w:rPr>
        <w:t>t</w:t>
      </w:r>
      <w:r w:rsidRPr="00EB5B72">
        <w:rPr>
          <w:b/>
          <w:bCs/>
          <w:sz w:val="28"/>
          <w:szCs w:val="28"/>
        </w:rPr>
        <w:t xml:space="preserve">he </w:t>
      </w:r>
      <w:r w:rsidR="009D24DD" w:rsidRPr="00EB5B72">
        <w:rPr>
          <w:b/>
          <w:bCs/>
          <w:sz w:val="28"/>
          <w:szCs w:val="28"/>
        </w:rPr>
        <w:t>P</w:t>
      </w:r>
      <w:r w:rsidRPr="00EB5B72">
        <w:rPr>
          <w:b/>
          <w:bCs/>
          <w:sz w:val="28"/>
          <w:szCs w:val="28"/>
        </w:rPr>
        <w:t>eople may prove that a defendant has been previously convicted of an offense when the fact of such previous conviction constitutes an element of the offense charged, or proof thereof is otherwise essential to the establishment of a legally sufficient case</w:t>
      </w:r>
      <w:r w:rsidR="00E7565D" w:rsidRPr="00EB5B72">
        <w:rPr>
          <w:b/>
          <w:bCs/>
          <w:sz w:val="28"/>
          <w:szCs w:val="28"/>
        </w:rPr>
        <w:t xml:space="preserve">, unless the defendant </w:t>
      </w:r>
      <w:r w:rsidR="005B41AE" w:rsidRPr="00EB5B72">
        <w:rPr>
          <w:b/>
          <w:bCs/>
          <w:sz w:val="28"/>
          <w:szCs w:val="28"/>
        </w:rPr>
        <w:t xml:space="preserve">has admitted the conviction in accord with </w:t>
      </w:r>
      <w:r w:rsidR="004058C5" w:rsidRPr="00EB5B72">
        <w:rPr>
          <w:b/>
          <w:bCs/>
          <w:sz w:val="28"/>
          <w:szCs w:val="28"/>
        </w:rPr>
        <w:t>CPL 200.60 or 200.63.</w:t>
      </w:r>
    </w:p>
    <w:p w14:paraId="4AB8C74C" w14:textId="77777777" w:rsidR="00FA0138" w:rsidRPr="00EB5B72" w:rsidRDefault="00FA0138" w:rsidP="008703D5">
      <w:pPr>
        <w:spacing w:before="0"/>
        <w:ind w:right="720"/>
        <w:rPr>
          <w:b/>
          <w:bCs/>
          <w:sz w:val="28"/>
          <w:szCs w:val="28"/>
        </w:rPr>
      </w:pPr>
    </w:p>
    <w:p w14:paraId="2DC28D65" w14:textId="36ED1A93" w:rsidR="00FA0138" w:rsidRPr="00EB5B72" w:rsidRDefault="00ED3D30" w:rsidP="008703D5">
      <w:pPr>
        <w:numPr>
          <w:ilvl w:val="0"/>
          <w:numId w:val="6"/>
        </w:numPr>
        <w:spacing w:before="0"/>
        <w:ind w:left="1440" w:right="720" w:hanging="360"/>
        <w:jc w:val="both"/>
        <w:rPr>
          <w:b/>
          <w:bCs/>
          <w:sz w:val="28"/>
          <w:szCs w:val="28"/>
        </w:rPr>
      </w:pPr>
      <w:r w:rsidRPr="00EB5B72">
        <w:rPr>
          <w:b/>
          <w:bCs/>
          <w:sz w:val="28"/>
          <w:szCs w:val="28"/>
        </w:rPr>
        <w:t xml:space="preserve"> </w:t>
      </w:r>
      <w:r w:rsidR="00FA0138" w:rsidRPr="00EB5B72">
        <w:rPr>
          <w:b/>
          <w:bCs/>
          <w:sz w:val="28"/>
          <w:szCs w:val="28"/>
        </w:rPr>
        <w:t xml:space="preserve">In a civil </w:t>
      </w:r>
      <w:r w:rsidR="001B0DE4" w:rsidRPr="00EB5B72">
        <w:rPr>
          <w:b/>
          <w:bCs/>
          <w:sz w:val="28"/>
          <w:szCs w:val="28"/>
        </w:rPr>
        <w:t>proceeding</w:t>
      </w:r>
      <w:r w:rsidR="00FA0138" w:rsidRPr="00EB5B72">
        <w:rPr>
          <w:b/>
          <w:bCs/>
          <w:sz w:val="28"/>
          <w:szCs w:val="28"/>
        </w:rPr>
        <w:t xml:space="preserve"> against an employer for negligent hiring, retention, an</w:t>
      </w:r>
      <w:r w:rsidR="004F7EA4" w:rsidRPr="00EB5B72">
        <w:rPr>
          <w:b/>
          <w:bCs/>
          <w:sz w:val="28"/>
          <w:szCs w:val="28"/>
        </w:rPr>
        <w:t>d</w:t>
      </w:r>
      <w:r w:rsidR="00FA0138" w:rsidRPr="00EB5B72">
        <w:rPr>
          <w:b/>
          <w:bCs/>
          <w:sz w:val="28"/>
          <w:szCs w:val="28"/>
        </w:rPr>
        <w:t xml:space="preserve"> supervision, </w:t>
      </w:r>
      <w:r w:rsidR="00FA0138" w:rsidRPr="00EB5B72">
        <w:rPr>
          <w:b/>
          <w:bCs/>
          <w:sz w:val="28"/>
          <w:szCs w:val="28"/>
        </w:rPr>
        <w:lastRenderedPageBreak/>
        <w:t>proof of the employee’s character as it pertains to a propensity for the conduct in issue and that the employer knew or should have known of the employee’s propensity may be established by specific acts of the employee.</w:t>
      </w:r>
    </w:p>
    <w:p w14:paraId="1BB72CEB" w14:textId="77777777" w:rsidR="00FA0138" w:rsidRPr="00EB5B72" w:rsidRDefault="00FA0138" w:rsidP="008703D5">
      <w:pPr>
        <w:spacing w:before="0"/>
        <w:rPr>
          <w:b/>
          <w:bCs/>
          <w:sz w:val="28"/>
          <w:szCs w:val="28"/>
        </w:rPr>
      </w:pPr>
    </w:p>
    <w:p w14:paraId="5D42E2F3" w14:textId="60490E00" w:rsidR="00FA0138" w:rsidRPr="00EB5B72" w:rsidRDefault="00ED3D30" w:rsidP="008703D5">
      <w:pPr>
        <w:numPr>
          <w:ilvl w:val="0"/>
          <w:numId w:val="5"/>
        </w:numPr>
        <w:spacing w:before="0"/>
        <w:ind w:right="720"/>
        <w:rPr>
          <w:b/>
          <w:bCs/>
          <w:sz w:val="28"/>
          <w:szCs w:val="28"/>
        </w:rPr>
      </w:pPr>
      <w:r w:rsidRPr="00EB5B72">
        <w:rPr>
          <w:b/>
          <w:bCs/>
          <w:sz w:val="28"/>
          <w:szCs w:val="28"/>
        </w:rPr>
        <w:t xml:space="preserve"> </w:t>
      </w:r>
      <w:r w:rsidR="00FA0138" w:rsidRPr="00EB5B72">
        <w:rPr>
          <w:b/>
          <w:bCs/>
          <w:sz w:val="28"/>
          <w:szCs w:val="28"/>
        </w:rPr>
        <w:t>Impeachment and Cross</w:t>
      </w:r>
      <w:r w:rsidRPr="00EB5B72">
        <w:rPr>
          <w:b/>
          <w:bCs/>
          <w:sz w:val="28"/>
          <w:szCs w:val="28"/>
        </w:rPr>
        <w:t>-</w:t>
      </w:r>
      <w:r w:rsidR="00FA0138" w:rsidRPr="00EB5B72">
        <w:rPr>
          <w:b/>
          <w:bCs/>
          <w:sz w:val="28"/>
          <w:szCs w:val="28"/>
        </w:rPr>
        <w:t>Examination</w:t>
      </w:r>
      <w:r w:rsidR="00F264C3" w:rsidRPr="00EB5B72">
        <w:rPr>
          <w:b/>
          <w:bCs/>
          <w:sz w:val="28"/>
          <w:szCs w:val="28"/>
        </w:rPr>
        <w:t xml:space="preserve"> of Character Witness</w:t>
      </w:r>
      <w:r w:rsidR="00FA0138" w:rsidRPr="00EB5B72">
        <w:rPr>
          <w:b/>
          <w:bCs/>
          <w:sz w:val="28"/>
          <w:szCs w:val="28"/>
        </w:rPr>
        <w:t xml:space="preserve">. </w:t>
      </w:r>
    </w:p>
    <w:p w14:paraId="6A096B3A" w14:textId="77777777" w:rsidR="00FA0138" w:rsidRPr="00EB5B72" w:rsidRDefault="00FA0138" w:rsidP="008703D5">
      <w:pPr>
        <w:spacing w:before="0"/>
        <w:rPr>
          <w:b/>
          <w:bCs/>
          <w:sz w:val="28"/>
          <w:szCs w:val="28"/>
        </w:rPr>
      </w:pPr>
    </w:p>
    <w:p w14:paraId="06637FF1" w14:textId="6DAAF4F8" w:rsidR="00FA0138" w:rsidRPr="00EB5B72" w:rsidRDefault="00ED3D30" w:rsidP="008703D5">
      <w:pPr>
        <w:numPr>
          <w:ilvl w:val="0"/>
          <w:numId w:val="7"/>
        </w:numPr>
        <w:spacing w:before="0"/>
        <w:ind w:left="1440" w:right="720"/>
        <w:jc w:val="both"/>
        <w:rPr>
          <w:b/>
          <w:bCs/>
          <w:sz w:val="28"/>
          <w:szCs w:val="28"/>
        </w:rPr>
      </w:pPr>
      <w:r w:rsidRPr="00EB5B72">
        <w:rPr>
          <w:b/>
          <w:sz w:val="28"/>
          <w:szCs w:val="28"/>
        </w:rPr>
        <w:t xml:space="preserve"> </w:t>
      </w:r>
      <w:r w:rsidR="00FA0138" w:rsidRPr="00EB5B72">
        <w:rPr>
          <w:b/>
          <w:sz w:val="28"/>
          <w:szCs w:val="28"/>
        </w:rPr>
        <w:t>A character witness is subject to impeachment like any other witness</w:t>
      </w:r>
      <w:r w:rsidR="00FA0138" w:rsidRPr="00EB5B72">
        <w:rPr>
          <w:b/>
          <w:bCs/>
          <w:sz w:val="28"/>
          <w:szCs w:val="28"/>
        </w:rPr>
        <w:t xml:space="preserve">. </w:t>
      </w:r>
    </w:p>
    <w:p w14:paraId="322FFB4C" w14:textId="77777777" w:rsidR="00FA0138" w:rsidRPr="00EB5B72" w:rsidRDefault="00FA0138" w:rsidP="008703D5">
      <w:pPr>
        <w:spacing w:before="0"/>
        <w:ind w:right="720"/>
        <w:rPr>
          <w:b/>
          <w:bCs/>
          <w:sz w:val="28"/>
          <w:szCs w:val="28"/>
        </w:rPr>
      </w:pPr>
    </w:p>
    <w:p w14:paraId="75C855AB" w14:textId="5284C3E1" w:rsidR="00FA0138" w:rsidRPr="00EB5B72" w:rsidRDefault="00ED3D30" w:rsidP="008703D5">
      <w:pPr>
        <w:numPr>
          <w:ilvl w:val="0"/>
          <w:numId w:val="7"/>
        </w:numPr>
        <w:spacing w:before="0"/>
        <w:ind w:left="1440" w:right="720"/>
        <w:jc w:val="both"/>
        <w:rPr>
          <w:b/>
          <w:bCs/>
          <w:sz w:val="28"/>
          <w:szCs w:val="28"/>
        </w:rPr>
      </w:pPr>
      <w:r w:rsidRPr="00EB5B72">
        <w:rPr>
          <w:b/>
          <w:bCs/>
          <w:sz w:val="28"/>
          <w:szCs w:val="28"/>
        </w:rPr>
        <w:t xml:space="preserve"> </w:t>
      </w:r>
      <w:r w:rsidR="00FA0138" w:rsidRPr="00EB5B72">
        <w:rPr>
          <w:b/>
          <w:bCs/>
          <w:sz w:val="28"/>
          <w:szCs w:val="28"/>
        </w:rPr>
        <w:t>If a witness offers reputation evidence as to a person’s character, that witness may be asked on cross-examination whether the witness has heard that the person has been convicted of a crime or engaged in conduct, other than the crime(s) or conduct with which the defendant is charged, that is inconsistent with that reputation.</w:t>
      </w:r>
    </w:p>
    <w:p w14:paraId="4BB40770" w14:textId="77777777" w:rsidR="00A1744F" w:rsidRPr="00EB5B72" w:rsidRDefault="00A1744F" w:rsidP="008703D5">
      <w:pPr>
        <w:spacing w:before="0"/>
        <w:rPr>
          <w:b/>
          <w:bCs/>
          <w:sz w:val="28"/>
          <w:szCs w:val="28"/>
        </w:rPr>
      </w:pPr>
    </w:p>
    <w:p w14:paraId="55238D78" w14:textId="6C34A1AA" w:rsidR="00430836" w:rsidRPr="00EB5B72" w:rsidRDefault="007E3A08" w:rsidP="008703D5">
      <w:pPr>
        <w:spacing w:before="0"/>
        <w:ind w:right="720"/>
        <w:jc w:val="center"/>
        <w:rPr>
          <w:b/>
          <w:bCs/>
        </w:rPr>
      </w:pPr>
      <w:r w:rsidRPr="00EB5B72">
        <w:rPr>
          <w:b/>
          <w:bCs/>
        </w:rPr>
        <w:t>Note</w:t>
      </w:r>
    </w:p>
    <w:p w14:paraId="7D71DB8D" w14:textId="77777777" w:rsidR="00FA0138" w:rsidRPr="00EB5B72" w:rsidRDefault="00FA0138" w:rsidP="008703D5">
      <w:pPr>
        <w:spacing w:before="0"/>
        <w:rPr>
          <w:b/>
          <w:bCs/>
        </w:rPr>
      </w:pPr>
    </w:p>
    <w:p w14:paraId="323ABCE8" w14:textId="6A0E813F" w:rsidR="00F17047" w:rsidRPr="00EB5B72" w:rsidRDefault="008703D5" w:rsidP="008703D5">
      <w:pPr>
        <w:tabs>
          <w:tab w:val="left" w:pos="720"/>
        </w:tabs>
        <w:spacing w:before="0"/>
        <w:jc w:val="both"/>
        <w:rPr>
          <w:rFonts w:eastAsia="Times New Roman"/>
          <w14:ligatures w14:val="none"/>
        </w:rPr>
      </w:pPr>
      <w:r w:rsidRPr="00EB5B72">
        <w:rPr>
          <w:b/>
          <w:bCs/>
        </w:rPr>
        <w:tab/>
      </w:r>
      <w:r w:rsidR="00F17047" w:rsidRPr="00EB5B72">
        <w:rPr>
          <w:b/>
          <w:bCs/>
        </w:rPr>
        <w:t xml:space="preserve">Subdivision (1) (a) </w:t>
      </w:r>
      <w:r w:rsidR="00F17047" w:rsidRPr="00EB5B72">
        <w:t xml:space="preserve">sets forth the long recognized rule in civil and criminal proceedings that </w:t>
      </w:r>
      <w:r w:rsidR="002C2874" w:rsidRPr="00EB5B72">
        <w:t>(</w:t>
      </w:r>
      <w:r w:rsidR="00F17047" w:rsidRPr="00EB5B72">
        <w:t xml:space="preserve">absent the exceptions in subdivision </w:t>
      </w:r>
      <w:r w:rsidR="002C2874" w:rsidRPr="00EB5B72">
        <w:t>[</w:t>
      </w:r>
      <w:r w:rsidR="00F17047" w:rsidRPr="00EB5B72">
        <w:t>2]</w:t>
      </w:r>
      <w:r w:rsidR="002C2874" w:rsidRPr="00EB5B72">
        <w:t>)</w:t>
      </w:r>
      <w:r w:rsidR="00F17047" w:rsidRPr="00EB5B72">
        <w:t xml:space="preserve"> the character or a character trait of a person may not be proved to raise an inference that the person acted in conformity therewith on the occasion in issue (</w:t>
      </w:r>
      <w:r w:rsidR="00F17047" w:rsidRPr="00EB5B72">
        <w:rPr>
          <w:i/>
          <w:iCs/>
        </w:rPr>
        <w:t>see e.g. Noonan v Luther</w:t>
      </w:r>
      <w:r w:rsidR="00F17047" w:rsidRPr="00EB5B72">
        <w:t>, 206 NY 105, 108 [1912] [</w:t>
      </w:r>
      <w:r w:rsidR="00DD198C" w:rsidRPr="00EB5B72">
        <w:t>“</w:t>
      </w:r>
      <w:r w:rsidR="00F17047" w:rsidRPr="00EB5B72">
        <w:t>the rule is clear ‘that the character of a party in a civil cause cannot be looked to as evidence that he did or did not do an act charged’</w:t>
      </w:r>
      <w:r w:rsidR="00DD198C" w:rsidRPr="00EB5B72">
        <w:t xml:space="preserve"> ”</w:t>
      </w:r>
      <w:r w:rsidR="00F17047" w:rsidRPr="00EB5B72">
        <w:t xml:space="preserve">]; </w:t>
      </w:r>
      <w:r w:rsidR="00F17047" w:rsidRPr="00EB5B72">
        <w:rPr>
          <w:i/>
          <w:iCs/>
        </w:rPr>
        <w:t>People v Zackowitz</w:t>
      </w:r>
      <w:r w:rsidR="00F17047" w:rsidRPr="00EB5B72">
        <w:t>, 254 NY 192, 197 [1930</w:t>
      </w:r>
      <w:r w:rsidR="00F17047" w:rsidRPr="00EB5B72">
        <w:rPr>
          <w:iCs/>
        </w:rPr>
        <w:t xml:space="preserve">] </w:t>
      </w:r>
      <w:r w:rsidR="00F17047" w:rsidRPr="00EB5B72">
        <w:t>[</w:t>
      </w:r>
      <w:r w:rsidR="00DD198C" w:rsidRPr="00EB5B72">
        <w:rPr>
          <w:rFonts w:eastAsia="Times New Roman"/>
          <w14:ligatures w14:val="none"/>
        </w:rPr>
        <w:t>“</w:t>
      </w:r>
      <w:r w:rsidR="00F17047" w:rsidRPr="00EB5B72">
        <w:rPr>
          <w:rFonts w:eastAsia="Times New Roman"/>
          <w14:ligatures w14:val="none"/>
        </w:rPr>
        <w:t>Fundamental hitherto has been the rule that character is never an issue in a criminal prosecution unless the defendant chooses to make it one</w:t>
      </w:r>
      <w:r w:rsidR="00DD198C" w:rsidRPr="00EB5B72">
        <w:rPr>
          <w:rFonts w:eastAsia="Times New Roman"/>
          <w14:ligatures w14:val="none"/>
        </w:rPr>
        <w:t>”</w:t>
      </w:r>
      <w:r w:rsidR="00F17047" w:rsidRPr="00EB5B72">
        <w:rPr>
          <w:rFonts w:eastAsia="Times New Roman"/>
          <w14:ligatures w14:val="none"/>
        </w:rPr>
        <w:t>];</w:t>
      </w:r>
      <w:r w:rsidR="00F17047" w:rsidRPr="00EB5B72">
        <w:t xml:space="preserve"> </w:t>
      </w:r>
      <w:r w:rsidR="00F17047" w:rsidRPr="00EB5B72">
        <w:rPr>
          <w:i/>
          <w:iCs/>
        </w:rPr>
        <w:t>People v Mullin</w:t>
      </w:r>
      <w:r w:rsidR="00F17047" w:rsidRPr="00EB5B72">
        <w:t xml:space="preserve">, 41 NY2d 475, 479 [1977] </w:t>
      </w:r>
      <w:r w:rsidR="00F17047" w:rsidRPr="00EB5B72">
        <w:rPr>
          <w:rFonts w:eastAsia="Times New Roman"/>
          <w14:ligatures w14:val="none"/>
        </w:rPr>
        <w:t>[“</w:t>
      </w:r>
      <w:r w:rsidR="005440BA" w:rsidRPr="00EB5B72">
        <w:rPr>
          <w:rFonts w:eastAsia="Times New Roman"/>
          <w14:ligatures w14:val="none"/>
        </w:rPr>
        <w:t xml:space="preserve"> </w:t>
      </w:r>
      <w:r w:rsidR="00F17047" w:rsidRPr="00EB5B72">
        <w:rPr>
          <w:rFonts w:eastAsia="Times New Roman"/>
          <w14:ligatures w14:val="none"/>
        </w:rPr>
        <w:t>‘</w:t>
      </w:r>
      <w:r w:rsidR="00F80FCC" w:rsidRPr="00EB5B72">
        <w:rPr>
          <w:rFonts w:eastAsia="Times New Roman"/>
          <w14:ligatures w14:val="none"/>
        </w:rPr>
        <w:t>(</w:t>
      </w:r>
      <w:r w:rsidR="00F17047" w:rsidRPr="00EB5B72">
        <w:rPr>
          <w:rFonts w:eastAsia="Times New Roman"/>
          <w14:ligatures w14:val="none"/>
        </w:rPr>
        <w:t>i</w:t>
      </w:r>
      <w:r w:rsidR="00F80FCC" w:rsidRPr="00EB5B72">
        <w:rPr>
          <w:rFonts w:eastAsia="Times New Roman"/>
          <w14:ligatures w14:val="none"/>
        </w:rPr>
        <w:t>)</w:t>
      </w:r>
      <w:r w:rsidR="00F17047" w:rsidRPr="00EB5B72">
        <w:rPr>
          <w:rFonts w:eastAsia="Times New Roman"/>
          <w14:ligatures w14:val="none"/>
        </w:rPr>
        <w:t xml:space="preserve">nflexibly the law has set its face against the endeavor to fasten guilt upon </w:t>
      </w:r>
      <w:r w:rsidR="00F80FCC" w:rsidRPr="00EB5B72">
        <w:rPr>
          <w:rFonts w:eastAsia="Times New Roman"/>
          <w14:ligatures w14:val="none"/>
        </w:rPr>
        <w:t>(</w:t>
      </w:r>
      <w:r w:rsidR="00F17047" w:rsidRPr="00EB5B72">
        <w:rPr>
          <w:rFonts w:eastAsia="Times New Roman"/>
          <w14:ligatures w14:val="none"/>
        </w:rPr>
        <w:t>a defendant</w:t>
      </w:r>
      <w:r w:rsidR="00F80FCC" w:rsidRPr="00EB5B72">
        <w:rPr>
          <w:rFonts w:eastAsia="Times New Roman"/>
          <w14:ligatures w14:val="none"/>
        </w:rPr>
        <w:t>)</w:t>
      </w:r>
      <w:r w:rsidR="00F17047" w:rsidRPr="00EB5B72">
        <w:rPr>
          <w:rFonts w:eastAsia="Times New Roman"/>
          <w14:ligatures w14:val="none"/>
        </w:rPr>
        <w:t xml:space="preserve"> by proof of character or experience predisposing to an act of crime’</w:t>
      </w:r>
      <w:r w:rsidR="005440BA" w:rsidRPr="00EB5B72">
        <w:rPr>
          <w:rFonts w:eastAsia="Times New Roman"/>
          <w14:ligatures w14:val="none"/>
        </w:rPr>
        <w:t xml:space="preserve"> </w:t>
      </w:r>
      <w:r w:rsidR="00F17047" w:rsidRPr="00EB5B72">
        <w:rPr>
          <w:rFonts w:eastAsia="Times New Roman"/>
          <w14:ligatures w14:val="none"/>
        </w:rPr>
        <w:t>”]).</w:t>
      </w:r>
    </w:p>
    <w:p w14:paraId="79748464" w14:textId="77777777" w:rsidR="008703D5" w:rsidRPr="00EB5B72" w:rsidRDefault="008703D5" w:rsidP="008703D5">
      <w:pPr>
        <w:spacing w:before="0"/>
        <w:jc w:val="both"/>
        <w:rPr>
          <w:rFonts w:eastAsia="Times New Roman"/>
          <w14:ligatures w14:val="none"/>
        </w:rPr>
      </w:pPr>
    </w:p>
    <w:p w14:paraId="1A0403BE" w14:textId="1D3BFB45" w:rsidR="00F17047" w:rsidRPr="00EB5B72" w:rsidRDefault="008703D5" w:rsidP="008703D5">
      <w:pPr>
        <w:tabs>
          <w:tab w:val="left" w:pos="720"/>
        </w:tabs>
        <w:spacing w:before="0"/>
        <w:jc w:val="both"/>
      </w:pPr>
      <w:r w:rsidRPr="00EB5B72">
        <w:tab/>
      </w:r>
      <w:r w:rsidR="00F17047" w:rsidRPr="00EB5B72">
        <w:t>This exclusionary rule is “one, not of logic, but of policy” (</w:t>
      </w:r>
      <w:r w:rsidR="00F17047" w:rsidRPr="00EB5B72">
        <w:rPr>
          <w:i/>
          <w:iCs/>
        </w:rPr>
        <w:t>Zackowitz</w:t>
      </w:r>
      <w:r w:rsidR="00F17047" w:rsidRPr="00EB5B72">
        <w:t>, 254 NY at 198</w:t>
      </w:r>
      <w:r w:rsidR="00A7131F" w:rsidRPr="00EB5B72">
        <w:t xml:space="preserve">; </w:t>
      </w:r>
      <w:r w:rsidR="00A7131F" w:rsidRPr="00EB5B72">
        <w:rPr>
          <w:i/>
          <w:iCs/>
        </w:rPr>
        <w:t>c</w:t>
      </w:r>
      <w:r w:rsidR="00F17047" w:rsidRPr="00EB5B72">
        <w:rPr>
          <w:i/>
          <w:iCs/>
        </w:rPr>
        <w:t>f.</w:t>
      </w:r>
      <w:r w:rsidR="00F17047" w:rsidRPr="00EB5B72">
        <w:t xml:space="preserve"> CPL 60.42 </w:t>
      </w:r>
      <w:r w:rsidR="00A7131F" w:rsidRPr="00EB5B72">
        <w:t>[</w:t>
      </w:r>
      <w:r w:rsidR="00F17047" w:rsidRPr="00EB5B72">
        <w:t>limiting admissibility of evidence of a victim</w:t>
      </w:r>
      <w:r w:rsidR="00DD198C" w:rsidRPr="00EB5B72">
        <w:t>’</w:t>
      </w:r>
      <w:r w:rsidR="00F17047" w:rsidRPr="00EB5B72">
        <w:t>s sexual conduct in a sex offense cases</w:t>
      </w:r>
      <w:r w:rsidR="00A7131F" w:rsidRPr="00EB5B72">
        <w:t>]</w:t>
      </w:r>
      <w:r w:rsidR="00F17047" w:rsidRPr="00EB5B72">
        <w:t xml:space="preserve">, </w:t>
      </w:r>
      <w:r w:rsidR="00F17047" w:rsidRPr="00EB5B72">
        <w:rPr>
          <w:i/>
          <w:iCs/>
        </w:rPr>
        <w:t>and</w:t>
      </w:r>
      <w:r w:rsidR="00F17047" w:rsidRPr="00EB5B72">
        <w:t xml:space="preserve"> CPL 60.43 </w:t>
      </w:r>
      <w:r w:rsidR="00A7131F" w:rsidRPr="00EB5B72">
        <w:t>[</w:t>
      </w:r>
      <w:r w:rsidR="00F17047" w:rsidRPr="00EB5B72">
        <w:t>limiting admissibility of evidence of a victim</w:t>
      </w:r>
      <w:r w:rsidR="00DD198C" w:rsidRPr="00EB5B72">
        <w:t>’</w:t>
      </w:r>
      <w:r w:rsidR="00F17047" w:rsidRPr="00EB5B72">
        <w:t>s sexual conduct in non-sex offense cases</w:t>
      </w:r>
      <w:r w:rsidR="00A7131F" w:rsidRPr="00EB5B72">
        <w:t>]</w:t>
      </w:r>
      <w:r w:rsidR="00F17047" w:rsidRPr="00EB5B72">
        <w:t>; Guide to NY Evid rule 4.22, Complainant’s Sexual Conduct or Dress</w:t>
      </w:r>
      <w:r w:rsidR="00A7131F" w:rsidRPr="00EB5B72">
        <w:t xml:space="preserve"> [rev Dec. 2023]</w:t>
      </w:r>
      <w:r w:rsidR="00F17047" w:rsidRPr="00EB5B72">
        <w:t>).</w:t>
      </w:r>
    </w:p>
    <w:p w14:paraId="27105868" w14:textId="0607F9C0" w:rsidR="00F17047" w:rsidRPr="00EB5B72" w:rsidRDefault="00F17047" w:rsidP="008703D5">
      <w:pPr>
        <w:spacing w:before="0"/>
        <w:jc w:val="both"/>
      </w:pPr>
    </w:p>
    <w:p w14:paraId="391C5317" w14:textId="264EB0A2" w:rsidR="00F17047" w:rsidRPr="00EB5B72" w:rsidRDefault="008703D5" w:rsidP="008703D5">
      <w:pPr>
        <w:tabs>
          <w:tab w:val="left" w:pos="720"/>
        </w:tabs>
        <w:spacing w:before="0"/>
        <w:jc w:val="both"/>
      </w:pPr>
      <w:r w:rsidRPr="00EB5B72">
        <w:rPr>
          <w:b/>
          <w:bCs/>
        </w:rPr>
        <w:tab/>
      </w:r>
      <w:r w:rsidR="00F17047" w:rsidRPr="00EB5B72">
        <w:rPr>
          <w:b/>
          <w:bCs/>
        </w:rPr>
        <w:t xml:space="preserve">Subdivision (1) (b) </w:t>
      </w:r>
      <w:r w:rsidR="00F17047" w:rsidRPr="00EB5B72">
        <w:t xml:space="preserve">reflects the holding in </w:t>
      </w:r>
      <w:r w:rsidR="00F17047" w:rsidRPr="00EB5B72">
        <w:rPr>
          <w:i/>
          <w:iCs/>
        </w:rPr>
        <w:t>People v Kuss</w:t>
      </w:r>
      <w:r w:rsidR="00F17047" w:rsidRPr="00EB5B72">
        <w:t xml:space="preserve"> (32 NY2d 436, 443 [1973]) that “</w:t>
      </w:r>
      <w:r w:rsidR="00A7131F" w:rsidRPr="00EB5B72">
        <w:t>[w]</w:t>
      </w:r>
      <w:r w:rsidR="00F17047" w:rsidRPr="00EB5B72">
        <w:t xml:space="preserve">hether the defendant’s character will become an issue in the </w:t>
      </w:r>
      <w:r w:rsidR="00F17047" w:rsidRPr="00EB5B72">
        <w:lastRenderedPageBreak/>
        <w:t>trial is the defendant’s option, for until he introduces evidence of good character the People are precluded from showing that it is otherwise.”</w:t>
      </w:r>
    </w:p>
    <w:p w14:paraId="0EAC73DF" w14:textId="77777777" w:rsidR="00F17047" w:rsidRPr="00EB5B72" w:rsidRDefault="00F17047" w:rsidP="008703D5">
      <w:pPr>
        <w:spacing w:before="0"/>
        <w:jc w:val="both"/>
      </w:pPr>
    </w:p>
    <w:p w14:paraId="08E5F5AD" w14:textId="0FEA4BC9" w:rsidR="00F17047" w:rsidRPr="00EB5B72" w:rsidRDefault="008703D5" w:rsidP="008703D5">
      <w:pPr>
        <w:tabs>
          <w:tab w:val="left" w:pos="720"/>
        </w:tabs>
        <w:spacing w:before="0"/>
        <w:jc w:val="both"/>
      </w:pPr>
      <w:r w:rsidRPr="00EB5B72">
        <w:rPr>
          <w:b/>
          <w:bCs/>
        </w:rPr>
        <w:tab/>
      </w:r>
      <w:r w:rsidR="00F17047" w:rsidRPr="00EB5B72">
        <w:rPr>
          <w:b/>
          <w:bCs/>
        </w:rPr>
        <w:t>Subdivision (2) (a)</w:t>
      </w:r>
      <w:r w:rsidR="00F17047" w:rsidRPr="00EB5B72">
        <w:t xml:space="preserve"> sets forth the general rule that character evidence is admissible where the character or a character trait of a person is in issue as a matter of substantive law. </w:t>
      </w:r>
    </w:p>
    <w:p w14:paraId="43EB92C3" w14:textId="77777777" w:rsidR="008703D5" w:rsidRPr="00EB5B72" w:rsidRDefault="008703D5" w:rsidP="008703D5">
      <w:pPr>
        <w:tabs>
          <w:tab w:val="left" w:pos="720"/>
        </w:tabs>
        <w:spacing w:before="0"/>
        <w:jc w:val="both"/>
      </w:pPr>
    </w:p>
    <w:p w14:paraId="685F0AE9" w14:textId="2E28866E" w:rsidR="004B7CB5" w:rsidRPr="00EB5B72" w:rsidRDefault="00706DCB" w:rsidP="00706DCB">
      <w:pPr>
        <w:tabs>
          <w:tab w:val="left" w:pos="720"/>
        </w:tabs>
        <w:spacing w:before="0"/>
        <w:jc w:val="both"/>
        <w:rPr>
          <w:rFonts w:eastAsia="Times New Roman"/>
          <w14:ligatures w14:val="none"/>
        </w:rPr>
      </w:pPr>
      <w:r w:rsidRPr="00EB5B72">
        <w:tab/>
      </w:r>
      <w:r w:rsidR="00F17047" w:rsidRPr="00EB5B72">
        <w:t>In a civil case, the “principal claims putting reputation directly in issue are defamation and malicious prosecution.” (</w:t>
      </w:r>
      <w:r w:rsidR="00A7131F" w:rsidRPr="00EB5B72">
        <w:t xml:space="preserve">Jerome Prince, </w:t>
      </w:r>
      <w:r w:rsidR="00F17047" w:rsidRPr="00EB5B72">
        <w:t>Richardson</w:t>
      </w:r>
      <w:r w:rsidR="00A7131F" w:rsidRPr="00EB5B72">
        <w:t xml:space="preserve"> on</w:t>
      </w:r>
      <w:r w:rsidR="00F17047" w:rsidRPr="00EB5B72">
        <w:t xml:space="preserve"> Evidence</w:t>
      </w:r>
      <w:r w:rsidR="00A7131F" w:rsidRPr="00EB5B72">
        <w:t xml:space="preserve"> </w:t>
      </w:r>
      <w:r w:rsidR="00F17047" w:rsidRPr="00EB5B72">
        <w:t>§ 4-410</w:t>
      </w:r>
      <w:r w:rsidR="00A7131F" w:rsidRPr="00EB5B72">
        <w:t xml:space="preserve"> [Farrell 11</w:t>
      </w:r>
      <w:r w:rsidR="00F80FCC" w:rsidRPr="00EB5B72">
        <w:t xml:space="preserve">th </w:t>
      </w:r>
      <w:r w:rsidR="00A7131F" w:rsidRPr="00EB5B72">
        <w:t>ed 1995, 2008 Supp];</w:t>
      </w:r>
      <w:r w:rsidR="00F17047" w:rsidRPr="00EB5B72">
        <w:t xml:space="preserve"> </w:t>
      </w:r>
      <w:r w:rsidR="00A7131F" w:rsidRPr="00EB5B72">
        <w:rPr>
          <w:i/>
          <w:iCs/>
        </w:rPr>
        <w:t>s</w:t>
      </w:r>
      <w:r w:rsidR="00F17047" w:rsidRPr="00EB5B72">
        <w:rPr>
          <w:i/>
          <w:iCs/>
        </w:rPr>
        <w:t>ee</w:t>
      </w:r>
      <w:r w:rsidR="00F17047" w:rsidRPr="00EB5B72">
        <w:t xml:space="preserve"> </w:t>
      </w:r>
      <w:r w:rsidR="00F17047" w:rsidRPr="00EB5B72">
        <w:rPr>
          <w:rFonts w:eastAsia="Times New Roman"/>
          <w:i/>
          <w:iCs/>
          <w:bdr w:val="none" w:sz="0" w:space="0" w:color="auto" w:frame="1"/>
          <w14:ligatures w14:val="none"/>
        </w:rPr>
        <w:t>Kravitz v Long Is. Jewish-Hillside Med. Ctr.</w:t>
      </w:r>
      <w:r w:rsidR="00F17047" w:rsidRPr="00EB5B72">
        <w:rPr>
          <w:rFonts w:eastAsia="Times New Roman"/>
          <w14:ligatures w14:val="none"/>
        </w:rPr>
        <w:t>, 113 AD2d 577, 583 [2d Dept 1985] [character evidence may be “used in those cases in which a person</w:t>
      </w:r>
      <w:r w:rsidR="00DD198C" w:rsidRPr="00EB5B72">
        <w:rPr>
          <w:rFonts w:eastAsia="Times New Roman"/>
          <w14:ligatures w14:val="none"/>
        </w:rPr>
        <w:t>’</w:t>
      </w:r>
      <w:r w:rsidR="00F17047" w:rsidRPr="00EB5B72">
        <w:rPr>
          <w:rFonts w:eastAsia="Times New Roman"/>
          <w14:ligatures w14:val="none"/>
        </w:rPr>
        <w:t>s character is directly in issue as a matter of substantive law</w:t>
      </w:r>
      <w:r w:rsidR="00A7131F" w:rsidRPr="00EB5B72">
        <w:rPr>
          <w:rFonts w:eastAsia="Times New Roman"/>
          <w14:ligatures w14:val="none"/>
        </w:rPr>
        <w:t xml:space="preserve"> </w:t>
      </w:r>
      <w:r w:rsidR="00F17047" w:rsidRPr="00EB5B72">
        <w:rPr>
          <w:rFonts w:eastAsia="Times New Roman"/>
          <w14:ligatures w14:val="none"/>
        </w:rPr>
        <w:t>. . .</w:t>
      </w:r>
      <w:r w:rsidR="00A7131F" w:rsidRPr="00EB5B72">
        <w:rPr>
          <w:rFonts w:eastAsia="Times New Roman"/>
          <w14:ligatures w14:val="none"/>
        </w:rPr>
        <w:t xml:space="preserve"> </w:t>
      </w:r>
      <w:r w:rsidR="00F17047" w:rsidRPr="00EB5B72">
        <w:rPr>
          <w:rFonts w:eastAsia="Times New Roman"/>
          <w14:ligatures w14:val="none"/>
        </w:rPr>
        <w:t>; thus, a defendant may introduce evidence of plaintiff's bad reputation in an attempt to mitigate damages in an action for defamation or malicious prosecution</w:t>
      </w:r>
      <w:r w:rsidR="00DD198C" w:rsidRPr="00EB5B72">
        <w:rPr>
          <w:rFonts w:eastAsia="Times New Roman"/>
          <w14:ligatures w14:val="none"/>
        </w:rPr>
        <w:t>”</w:t>
      </w:r>
      <w:r w:rsidR="00F17047" w:rsidRPr="00EB5B72">
        <w:rPr>
          <w:rFonts w:eastAsia="Times New Roman"/>
          <w14:ligatures w14:val="none"/>
        </w:rPr>
        <w:t xml:space="preserve">]; </w:t>
      </w:r>
      <w:r w:rsidR="00F17047" w:rsidRPr="00EB5B72">
        <w:rPr>
          <w:rFonts w:eastAsia="Times New Roman"/>
          <w:i/>
          <w:iCs/>
          <w14:ligatures w14:val="none"/>
        </w:rPr>
        <w:t>Fraser v Park Newspapers of St. Lawrence</w:t>
      </w:r>
      <w:r w:rsidR="00F17047" w:rsidRPr="00EB5B72">
        <w:rPr>
          <w:rFonts w:eastAsia="Times New Roman"/>
          <w14:ligatures w14:val="none"/>
        </w:rPr>
        <w:t>, 257 AD2d 961, 962 [3d Dept 1999] [in a defamation action, “defendant is certainly entitled to adduce proof of plaintiff</w:t>
      </w:r>
      <w:r w:rsidR="00DD198C" w:rsidRPr="00EB5B72">
        <w:rPr>
          <w:rFonts w:eastAsia="Times New Roman"/>
          <w14:ligatures w14:val="none"/>
        </w:rPr>
        <w:t>’</w:t>
      </w:r>
      <w:r w:rsidR="00F17047" w:rsidRPr="00EB5B72">
        <w:rPr>
          <w:rFonts w:eastAsia="Times New Roman"/>
          <w14:ligatures w14:val="none"/>
        </w:rPr>
        <w:t>s general reputation at the time of publication, in an attempt to show that he was not damaged significantly by the alleged misrepresentation”]</w:t>
      </w:r>
      <w:r w:rsidR="00A7131F" w:rsidRPr="00EB5B72">
        <w:rPr>
          <w:rFonts w:eastAsia="Times New Roman"/>
          <w14:ligatures w14:val="none"/>
        </w:rPr>
        <w:t>.</w:t>
      </w:r>
      <w:r w:rsidR="00F17047" w:rsidRPr="00EB5B72">
        <w:rPr>
          <w:rFonts w:eastAsia="Times New Roman"/>
          <w14:ligatures w14:val="none"/>
        </w:rPr>
        <w:t>) As set forth in subdivision (4), proof of character is by reputation; “evidence of specific acts of wrongdoing is generally not admissible for this purpose.</w:t>
      </w:r>
      <w:r w:rsidR="00DD198C" w:rsidRPr="00EB5B72">
        <w:rPr>
          <w:rFonts w:eastAsia="Times New Roman"/>
          <w14:ligatures w14:val="none"/>
        </w:rPr>
        <w:t>”</w:t>
      </w:r>
      <w:r w:rsidR="00F17047" w:rsidRPr="00EB5B72">
        <w:rPr>
          <w:rFonts w:eastAsia="Times New Roman"/>
          <w14:ligatures w14:val="none"/>
        </w:rPr>
        <w:t xml:space="preserve"> </w:t>
      </w:r>
      <w:r w:rsidR="0077704A" w:rsidRPr="00EB5B72">
        <w:rPr>
          <w:rFonts w:eastAsia="Times New Roman"/>
          <w14:ligatures w14:val="none"/>
        </w:rPr>
        <w:t>(</w:t>
      </w:r>
      <w:r w:rsidR="00F17047" w:rsidRPr="00EB5B72">
        <w:rPr>
          <w:rFonts w:eastAsia="Times New Roman"/>
          <w:i/>
          <w:iCs/>
          <w14:ligatures w14:val="none"/>
        </w:rPr>
        <w:t xml:space="preserve">Fraser </w:t>
      </w:r>
      <w:r w:rsidR="00F17047" w:rsidRPr="00EB5B72">
        <w:rPr>
          <w:rFonts w:eastAsia="Times New Roman"/>
          <w14:ligatures w14:val="none"/>
        </w:rPr>
        <w:t>at 962</w:t>
      </w:r>
      <w:r w:rsidR="00A7131F" w:rsidRPr="00EB5B72">
        <w:rPr>
          <w:rFonts w:eastAsia="Times New Roman"/>
          <w14:ligatures w14:val="none"/>
        </w:rPr>
        <w:t>.</w:t>
      </w:r>
      <w:r w:rsidR="0077704A" w:rsidRPr="00EB5B72">
        <w:rPr>
          <w:rFonts w:eastAsia="Times New Roman"/>
          <w14:ligatures w14:val="none"/>
        </w:rPr>
        <w:t>)</w:t>
      </w:r>
    </w:p>
    <w:p w14:paraId="18A7BB68" w14:textId="77777777" w:rsidR="00592470" w:rsidRPr="00EB5B72" w:rsidRDefault="00592470" w:rsidP="00592470">
      <w:pPr>
        <w:rPr>
          <w:rFonts w:eastAsia="Times New Roman"/>
          <w14:ligatures w14:val="none"/>
        </w:rPr>
      </w:pPr>
    </w:p>
    <w:p w14:paraId="097AB6FA" w14:textId="3DD8B479" w:rsidR="006A49ED" w:rsidRPr="00EB5B72" w:rsidRDefault="00D077E5" w:rsidP="005E4206">
      <w:pPr>
        <w:jc w:val="both"/>
        <w:rPr>
          <w:rFonts w:eastAsia="Times New Roman"/>
          <w14:ligatures w14:val="none"/>
        </w:rPr>
      </w:pPr>
      <w:r w:rsidRPr="00EB5B72">
        <w:rPr>
          <w:rFonts w:eastAsia="Times New Roman"/>
          <w:i/>
          <w:iCs/>
          <w14:ligatures w14:val="none"/>
        </w:rPr>
        <w:tab/>
      </w:r>
      <w:r w:rsidRPr="00EB5B72">
        <w:rPr>
          <w:rFonts w:eastAsia="Times New Roman"/>
          <w14:ligatures w14:val="none"/>
        </w:rPr>
        <w:t>In a criminal case</w:t>
      </w:r>
      <w:r w:rsidR="00B3743F" w:rsidRPr="00EB5B72">
        <w:rPr>
          <w:rFonts w:eastAsia="Times New Roman"/>
          <w14:ligatures w14:val="none"/>
        </w:rPr>
        <w:t>, evidence of motive may be admissible “even though it reflect[s] on the defendant’s character</w:t>
      </w:r>
      <w:r w:rsidR="000C03AC" w:rsidRPr="00EB5B72">
        <w:rPr>
          <w:rFonts w:eastAsia="Times New Roman"/>
          <w14:ligatures w14:val="none"/>
        </w:rPr>
        <w:t>.</w:t>
      </w:r>
      <w:r w:rsidR="00207F2F" w:rsidRPr="00EB5B72">
        <w:rPr>
          <w:rFonts w:eastAsia="Times New Roman"/>
          <w14:ligatures w14:val="none"/>
        </w:rPr>
        <w:t>”</w:t>
      </w:r>
      <w:r w:rsidR="00B3743F" w:rsidRPr="00EB5B72">
        <w:rPr>
          <w:rFonts w:eastAsia="Times New Roman"/>
          <w14:ligatures w14:val="none"/>
        </w:rPr>
        <w:t xml:space="preserve"> </w:t>
      </w:r>
      <w:r w:rsidR="001B6E15" w:rsidRPr="00EB5B72">
        <w:rPr>
          <w:rFonts w:eastAsia="Times New Roman"/>
          <w14:ligatures w14:val="none"/>
        </w:rPr>
        <w:t>(</w:t>
      </w:r>
      <w:r w:rsidR="004B7CB5" w:rsidRPr="00EB5B72">
        <w:rPr>
          <w:rFonts w:eastAsia="Times New Roman"/>
          <w:i/>
          <w:iCs/>
          <w14:ligatures w14:val="none"/>
        </w:rPr>
        <w:t>People v Moore</w:t>
      </w:r>
      <w:r w:rsidR="004B7CB5" w:rsidRPr="00EB5B72">
        <w:rPr>
          <w:rFonts w:eastAsia="Times New Roman"/>
          <w14:ligatures w14:val="none"/>
        </w:rPr>
        <w:t>, 42 NY2d 421, 428,</w:t>
      </w:r>
      <w:r w:rsidR="00B125CD" w:rsidRPr="00EB5B72">
        <w:rPr>
          <w:rFonts w:eastAsia="Times New Roman"/>
          <w14:ligatures w14:val="none"/>
        </w:rPr>
        <w:t xml:space="preserve"> 397 NYS2d 975,</w:t>
      </w:r>
      <w:r w:rsidR="004B7CB5" w:rsidRPr="00EB5B72">
        <w:rPr>
          <w:rFonts w:eastAsia="Times New Roman"/>
          <w14:ligatures w14:val="none"/>
        </w:rPr>
        <w:t xml:space="preserve"> 366 NE2d 1330 [1977]</w:t>
      </w:r>
      <w:r w:rsidR="00304747" w:rsidRPr="00EB5B72">
        <w:rPr>
          <w:rFonts w:eastAsia="Times New Roman"/>
          <w14:ligatures w14:val="none"/>
        </w:rPr>
        <w:t>)</w:t>
      </w:r>
      <w:r w:rsidR="00414290" w:rsidRPr="00EB5B72">
        <w:rPr>
          <w:rFonts w:eastAsia="Times New Roman"/>
          <w14:ligatures w14:val="none"/>
        </w:rPr>
        <w:t xml:space="preserve"> [testimony that “</w:t>
      </w:r>
      <w:r w:rsidR="004B7CB5" w:rsidRPr="00EB5B72">
        <w:rPr>
          <w:rFonts w:eastAsia="Times New Roman"/>
          <w14:ligatures w14:val="none"/>
        </w:rPr>
        <w:t>the defendant and his associates planned and carried out the</w:t>
      </w:r>
      <w:r w:rsidR="00414290" w:rsidRPr="00EB5B72">
        <w:rPr>
          <w:rFonts w:eastAsia="Times New Roman"/>
          <w14:ligatures w14:val="none"/>
        </w:rPr>
        <w:t>. . .</w:t>
      </w:r>
      <w:r w:rsidR="004B7CB5" w:rsidRPr="00EB5B72">
        <w:rPr>
          <w:rFonts w:eastAsia="Times New Roman"/>
          <w14:ligatures w14:val="none"/>
        </w:rPr>
        <w:t xml:space="preserve"> shooting because they had a vicious ideological hatred for the police. </w:t>
      </w:r>
      <w:r w:rsidR="001943B3" w:rsidRPr="00EB5B72">
        <w:rPr>
          <w:rFonts w:eastAsia="Times New Roman"/>
          <w14:ligatures w14:val="none"/>
        </w:rPr>
        <w:t>. .</w:t>
      </w:r>
      <w:r w:rsidR="004B7CB5" w:rsidRPr="00EB5B72">
        <w:rPr>
          <w:rFonts w:eastAsia="Times New Roman"/>
          <w14:ligatures w14:val="none"/>
        </w:rPr>
        <w:t xml:space="preserve">was properly admitted to show the motive for the shooting even though it reflected on the defendant's </w:t>
      </w:r>
      <w:r w:rsidR="00592470" w:rsidRPr="00EB5B72">
        <w:rPr>
          <w:rFonts w:eastAsia="Times New Roman"/>
          <w14:ligatures w14:val="none"/>
        </w:rPr>
        <w:t>character. .</w:t>
      </w:r>
      <w:r w:rsidR="001943B3" w:rsidRPr="00EB5B72">
        <w:rPr>
          <w:rFonts w:eastAsia="Times New Roman"/>
          <w14:ligatures w14:val="none"/>
        </w:rPr>
        <w:t xml:space="preserve"> .</w:t>
      </w:r>
      <w:r w:rsidR="004B7CB5" w:rsidRPr="00EB5B72">
        <w:rPr>
          <w:rFonts w:eastAsia="Times New Roman"/>
          <w14:ligatures w14:val="none"/>
        </w:rPr>
        <w:t>which was not otherwise in issue</w:t>
      </w:r>
      <w:r w:rsidR="00592470" w:rsidRPr="00EB5B72">
        <w:rPr>
          <w:rFonts w:eastAsia="Times New Roman"/>
          <w14:ligatures w14:val="none"/>
        </w:rPr>
        <w:t>”]</w:t>
      </w:r>
      <w:r w:rsidR="00C67792" w:rsidRPr="00EB5B72">
        <w:rPr>
          <w:rFonts w:eastAsia="Times New Roman"/>
          <w14:ligatures w14:val="none"/>
        </w:rPr>
        <w:t>.</w:t>
      </w:r>
    </w:p>
    <w:p w14:paraId="488D0D26" w14:textId="77777777" w:rsidR="00706DCB" w:rsidRPr="00EB5B72" w:rsidRDefault="00706DCB" w:rsidP="00706DCB">
      <w:pPr>
        <w:tabs>
          <w:tab w:val="left" w:pos="720"/>
        </w:tabs>
        <w:spacing w:before="0"/>
        <w:jc w:val="both"/>
        <w:rPr>
          <w:rFonts w:eastAsia="Times New Roman"/>
          <w14:ligatures w14:val="none"/>
        </w:rPr>
      </w:pPr>
    </w:p>
    <w:p w14:paraId="13CC4C8F" w14:textId="1DC27D7F" w:rsidR="00B91D0F" w:rsidRPr="00EB5B72" w:rsidRDefault="00706DCB" w:rsidP="00706DCB">
      <w:pPr>
        <w:tabs>
          <w:tab w:val="left" w:pos="720"/>
        </w:tabs>
        <w:spacing w:before="0"/>
        <w:jc w:val="both"/>
        <w:rPr>
          <w:rFonts w:eastAsia="Times New Roman"/>
          <w14:ligatures w14:val="none"/>
        </w:rPr>
      </w:pPr>
      <w:r w:rsidRPr="00EB5B72">
        <w:rPr>
          <w:rFonts w:eastAsia="Times New Roman"/>
          <w14:ligatures w14:val="none"/>
        </w:rPr>
        <w:tab/>
      </w:r>
      <w:r w:rsidR="00F17047" w:rsidRPr="00EB5B72">
        <w:rPr>
          <w:rFonts w:eastAsia="Times New Roman"/>
          <w14:ligatures w14:val="none"/>
        </w:rPr>
        <w:t>Further examples of where reputation evidence in civil and criminal proceedings may be in issue as a matter of substantive law and where proof may</w:t>
      </w:r>
      <w:r w:rsidR="0077704A" w:rsidRPr="00EB5B72">
        <w:rPr>
          <w:rFonts w:eastAsia="Times New Roman"/>
          <w14:ligatures w14:val="none"/>
        </w:rPr>
        <w:t xml:space="preserve"> </w:t>
      </w:r>
      <w:r w:rsidR="00F17047" w:rsidRPr="00EB5B72">
        <w:rPr>
          <w:rFonts w:eastAsia="Times New Roman"/>
          <w14:ligatures w14:val="none"/>
        </w:rPr>
        <w:t xml:space="preserve">be by specific acts are set forth in the </w:t>
      </w:r>
      <w:r w:rsidR="00A7131F" w:rsidRPr="00EB5B72">
        <w:rPr>
          <w:rFonts w:eastAsia="Times New Roman"/>
          <w14:ligatures w14:val="none"/>
        </w:rPr>
        <w:t>N</w:t>
      </w:r>
      <w:r w:rsidR="00F17047" w:rsidRPr="00EB5B72">
        <w:rPr>
          <w:rFonts w:eastAsia="Times New Roman"/>
          <w14:ligatures w14:val="none"/>
        </w:rPr>
        <w:t>ote to subdivision (5)</w:t>
      </w:r>
      <w:r w:rsidR="00F80FCC" w:rsidRPr="00EB5B72">
        <w:rPr>
          <w:rFonts w:eastAsia="Times New Roman"/>
          <w14:ligatures w14:val="none"/>
        </w:rPr>
        <w:t>,</w:t>
      </w:r>
      <w:r w:rsidR="00B97B44" w:rsidRPr="00EB5B72">
        <w:rPr>
          <w:rFonts w:eastAsia="Times New Roman"/>
          <w14:ligatures w14:val="none"/>
        </w:rPr>
        <w:t xml:space="preserve"> and </w:t>
      </w:r>
      <w:r w:rsidR="00DB561F" w:rsidRPr="00EB5B72">
        <w:rPr>
          <w:rFonts w:eastAsia="Times New Roman"/>
          <w14:ligatures w14:val="none"/>
        </w:rPr>
        <w:t>see Guide</w:t>
      </w:r>
      <w:r w:rsidR="00CE5DCE" w:rsidRPr="00EB5B72">
        <w:rPr>
          <w:rFonts w:eastAsia="Times New Roman"/>
          <w14:ligatures w14:val="none"/>
        </w:rPr>
        <w:t xml:space="preserve"> to N</w:t>
      </w:r>
      <w:r w:rsidR="004E439E" w:rsidRPr="00EB5B72">
        <w:rPr>
          <w:rFonts w:eastAsia="Times New Roman"/>
          <w14:ligatures w14:val="none"/>
        </w:rPr>
        <w:t xml:space="preserve">ew </w:t>
      </w:r>
      <w:r w:rsidR="00CE5DCE" w:rsidRPr="00EB5B72">
        <w:rPr>
          <w:rFonts w:eastAsia="Times New Roman"/>
          <w14:ligatures w14:val="none"/>
        </w:rPr>
        <w:t>Y</w:t>
      </w:r>
      <w:r w:rsidR="004E439E" w:rsidRPr="00EB5B72">
        <w:rPr>
          <w:rFonts w:eastAsia="Times New Roman"/>
          <w14:ligatures w14:val="none"/>
        </w:rPr>
        <w:t>ork</w:t>
      </w:r>
      <w:r w:rsidR="00CE5DCE" w:rsidRPr="00EB5B72">
        <w:rPr>
          <w:rFonts w:eastAsia="Times New Roman"/>
          <w14:ligatures w14:val="none"/>
        </w:rPr>
        <w:t xml:space="preserve"> Evidence rule 4.</w:t>
      </w:r>
      <w:r w:rsidR="008551FF" w:rsidRPr="00EB5B72">
        <w:rPr>
          <w:rFonts w:eastAsia="Times New Roman"/>
          <w14:ligatures w14:val="none"/>
        </w:rPr>
        <w:t>10</w:t>
      </w:r>
      <w:r w:rsidR="00CE5DCE" w:rsidRPr="00EB5B72">
        <w:rPr>
          <w:rFonts w:eastAsia="Times New Roman"/>
          <w14:ligatures w14:val="none"/>
        </w:rPr>
        <w:t xml:space="preserve"> </w:t>
      </w:r>
      <w:r w:rsidR="004E439E" w:rsidRPr="00EB5B72">
        <w:rPr>
          <w:rFonts w:eastAsia="Times New Roman"/>
          <w14:ligatures w14:val="none"/>
        </w:rPr>
        <w:t>(</w:t>
      </w:r>
      <w:r w:rsidR="00CE5DCE" w:rsidRPr="00EB5B72">
        <w:rPr>
          <w:rFonts w:eastAsia="Times New Roman"/>
          <w14:ligatures w14:val="none"/>
        </w:rPr>
        <w:t xml:space="preserve">Character Evidence </w:t>
      </w:r>
      <w:r w:rsidR="004E439E" w:rsidRPr="00EB5B72">
        <w:rPr>
          <w:rFonts w:eastAsia="Times New Roman"/>
          <w14:ligatures w14:val="none"/>
        </w:rPr>
        <w:t>Re: Duress, En</w:t>
      </w:r>
      <w:r w:rsidR="00CE5DCE" w:rsidRPr="00EB5B72">
        <w:rPr>
          <w:rFonts w:eastAsia="Times New Roman"/>
          <w14:ligatures w14:val="none"/>
        </w:rPr>
        <w:t>trapment</w:t>
      </w:r>
      <w:r w:rsidR="004E439E" w:rsidRPr="00EB5B72">
        <w:rPr>
          <w:rFonts w:eastAsia="Times New Roman"/>
          <w14:ligatures w14:val="none"/>
        </w:rPr>
        <w:t>,</w:t>
      </w:r>
      <w:r w:rsidR="00CE5DCE" w:rsidRPr="00EB5B72">
        <w:rPr>
          <w:rFonts w:eastAsia="Times New Roman"/>
          <w14:ligatures w14:val="none"/>
        </w:rPr>
        <w:t xml:space="preserve"> or</w:t>
      </w:r>
      <w:r w:rsidR="004E439E" w:rsidRPr="00EB5B72">
        <w:rPr>
          <w:rFonts w:eastAsia="Times New Roman"/>
          <w14:ligatures w14:val="none"/>
        </w:rPr>
        <w:t xml:space="preserve"> Insanity</w:t>
      </w:r>
      <w:r w:rsidR="00CE5DCE" w:rsidRPr="00EB5B72">
        <w:rPr>
          <w:rFonts w:eastAsia="Times New Roman"/>
          <w14:ligatures w14:val="none"/>
        </w:rPr>
        <w:t xml:space="preserve"> Affirmative Defense</w:t>
      </w:r>
      <w:r w:rsidR="004E439E" w:rsidRPr="00EB5B72">
        <w:rPr>
          <w:rFonts w:eastAsia="Times New Roman"/>
          <w14:ligatures w14:val="none"/>
        </w:rPr>
        <w:t>)</w:t>
      </w:r>
      <w:r w:rsidR="00CE5DCE" w:rsidRPr="00EB5B72">
        <w:rPr>
          <w:rFonts w:eastAsia="Times New Roman"/>
          <w14:ligatures w14:val="none"/>
        </w:rPr>
        <w:t xml:space="preserve"> and</w:t>
      </w:r>
      <w:r w:rsidR="003D17F5" w:rsidRPr="00EB5B72">
        <w:rPr>
          <w:rFonts w:eastAsia="Times New Roman"/>
          <w14:ligatures w14:val="none"/>
        </w:rPr>
        <w:t xml:space="preserve"> rule</w:t>
      </w:r>
      <w:r w:rsidR="00CE5DCE" w:rsidRPr="00EB5B72">
        <w:rPr>
          <w:rFonts w:eastAsia="Times New Roman"/>
          <w14:ligatures w14:val="none"/>
        </w:rPr>
        <w:t xml:space="preserve"> 4</w:t>
      </w:r>
      <w:r w:rsidR="003D17F5" w:rsidRPr="00EB5B72">
        <w:rPr>
          <w:rFonts w:eastAsia="Times New Roman"/>
          <w14:ligatures w14:val="none"/>
        </w:rPr>
        <w:t>.</w:t>
      </w:r>
      <w:r w:rsidR="008551FF" w:rsidRPr="00EB5B72">
        <w:rPr>
          <w:rFonts w:eastAsia="Times New Roman"/>
          <w14:ligatures w14:val="none"/>
        </w:rPr>
        <w:t>11</w:t>
      </w:r>
      <w:r w:rsidR="00671F8A" w:rsidRPr="00EB5B72">
        <w:rPr>
          <w:rFonts w:eastAsia="Times New Roman"/>
          <w14:ligatures w14:val="none"/>
        </w:rPr>
        <w:t xml:space="preserve"> </w:t>
      </w:r>
      <w:r w:rsidR="004E439E" w:rsidRPr="00EB5B72">
        <w:rPr>
          <w:rFonts w:eastAsia="Times New Roman"/>
          <w14:ligatures w14:val="none"/>
        </w:rPr>
        <w:t>(</w:t>
      </w:r>
      <w:r w:rsidR="00671F8A" w:rsidRPr="00EB5B72">
        <w:rPr>
          <w:rFonts w:eastAsia="Times New Roman"/>
          <w14:ligatures w14:val="none"/>
        </w:rPr>
        <w:t xml:space="preserve">Character Evidence </w:t>
      </w:r>
      <w:r w:rsidR="00D406D7" w:rsidRPr="00EB5B72">
        <w:rPr>
          <w:rFonts w:eastAsia="Times New Roman"/>
          <w14:ligatures w14:val="none"/>
        </w:rPr>
        <w:t>Re:</w:t>
      </w:r>
      <w:r w:rsidR="00671F8A" w:rsidRPr="00EB5B72">
        <w:rPr>
          <w:rFonts w:eastAsia="Times New Roman"/>
          <w14:ligatures w14:val="none"/>
        </w:rPr>
        <w:t xml:space="preserve"> Justification Defense</w:t>
      </w:r>
      <w:r w:rsidR="004E439E" w:rsidRPr="00EB5B72">
        <w:rPr>
          <w:rFonts w:eastAsia="Times New Roman"/>
          <w14:ligatures w14:val="none"/>
        </w:rPr>
        <w:t>)</w:t>
      </w:r>
      <w:r w:rsidR="00671F8A" w:rsidRPr="00EB5B72">
        <w:rPr>
          <w:rFonts w:eastAsia="Times New Roman"/>
          <w14:ligatures w14:val="none"/>
        </w:rPr>
        <w:t>.</w:t>
      </w:r>
    </w:p>
    <w:p w14:paraId="077B7306" w14:textId="77777777" w:rsidR="00F17047" w:rsidRPr="00EB5B72" w:rsidRDefault="00F17047" w:rsidP="008703D5">
      <w:pPr>
        <w:spacing w:before="0"/>
        <w:jc w:val="both"/>
      </w:pPr>
    </w:p>
    <w:p w14:paraId="25F8526C" w14:textId="77777777" w:rsidR="00F17047" w:rsidRPr="00EB5B72" w:rsidRDefault="00F17047" w:rsidP="008703D5">
      <w:pPr>
        <w:spacing w:before="0"/>
        <w:jc w:val="both"/>
      </w:pPr>
      <w:r w:rsidRPr="00EB5B72">
        <w:rPr>
          <w:b/>
          <w:bCs/>
        </w:rPr>
        <w:tab/>
        <w:t>Subdivision (2) (b)</w:t>
      </w:r>
      <w:r w:rsidRPr="00EB5B72">
        <w:t xml:space="preserve"> is derived from Court of Appeals precedent which gives a defendant in a criminal proceeding the option to introduce reputation evidence as to defendant’s own good character for the purpose of raising an inference that defendant would not be likely to commit the crime charged (</w:t>
      </w:r>
      <w:r w:rsidRPr="00EB5B72">
        <w:rPr>
          <w:i/>
          <w:iCs/>
        </w:rPr>
        <w:t>see e.g. People v Aharonowicz</w:t>
      </w:r>
      <w:r w:rsidRPr="00EB5B72">
        <w:t xml:space="preserve">, 71 NY2d 678, 681 [1988] [“The principle has long been that in a criminal prosecution, the accused may introduce evidence as to his own good character to show that it is unlikely that he committed the particular offense charged”]; </w:t>
      </w:r>
      <w:r w:rsidRPr="00EB5B72">
        <w:rPr>
          <w:i/>
          <w:iCs/>
        </w:rPr>
        <w:t>People v Van Gaasbeck</w:t>
      </w:r>
      <w:r w:rsidRPr="00EB5B72">
        <w:t>,</w:t>
      </w:r>
      <w:r w:rsidRPr="00EB5B72">
        <w:rPr>
          <w:i/>
          <w:iCs/>
        </w:rPr>
        <w:t xml:space="preserve"> </w:t>
      </w:r>
      <w:r w:rsidRPr="00EB5B72">
        <w:t xml:space="preserve">189 NY 408, 413-414 [1907]). </w:t>
      </w:r>
    </w:p>
    <w:p w14:paraId="427EB746" w14:textId="77777777" w:rsidR="00F17047" w:rsidRPr="00EB5B72" w:rsidRDefault="00F17047" w:rsidP="008703D5">
      <w:pPr>
        <w:spacing w:before="0"/>
        <w:jc w:val="both"/>
      </w:pPr>
    </w:p>
    <w:p w14:paraId="1249E18F" w14:textId="69583578" w:rsidR="00F17047" w:rsidRPr="00EB5B72" w:rsidRDefault="00F17047" w:rsidP="008703D5">
      <w:pPr>
        <w:spacing w:before="0"/>
        <w:jc w:val="both"/>
        <w:rPr>
          <w:rFonts w:eastAsia="Times New Roman"/>
          <w14:ligatures w14:val="none"/>
        </w:rPr>
      </w:pPr>
      <w:r w:rsidRPr="00EB5B72">
        <w:lastRenderedPageBreak/>
        <w:tab/>
        <w:t>When the defendant opts to introduce evidence of good character, “such testimony must relate to the traits involved in the charge against him” (</w:t>
      </w:r>
      <w:r w:rsidRPr="00EB5B72">
        <w:rPr>
          <w:i/>
          <w:iCs/>
        </w:rPr>
        <w:t>People v Miller</w:t>
      </w:r>
      <w:r w:rsidRPr="00EB5B72">
        <w:t>, 35 NY2d 65, 68 [1974]</w:t>
      </w:r>
      <w:r w:rsidR="00794868" w:rsidRPr="00EB5B72">
        <w:t>;</w:t>
      </w:r>
      <w:r w:rsidRPr="00EB5B72">
        <w:t xml:space="preserve"> </w:t>
      </w:r>
      <w:r w:rsidR="00794868" w:rsidRPr="00EB5B72">
        <w:rPr>
          <w:i/>
          <w:iCs/>
        </w:rPr>
        <w:t>e</w:t>
      </w:r>
      <w:r w:rsidRPr="00EB5B72">
        <w:rPr>
          <w:i/>
          <w:iCs/>
        </w:rPr>
        <w:t>.g.</w:t>
      </w:r>
      <w:r w:rsidRPr="00EB5B72">
        <w:t xml:space="preserve"> </w:t>
      </w:r>
      <w:r w:rsidRPr="00EB5B72">
        <w:rPr>
          <w:rFonts w:eastAsia="Times New Roman"/>
          <w:i/>
          <w14:ligatures w14:val="none"/>
        </w:rPr>
        <w:t xml:space="preserve">People </w:t>
      </w:r>
      <w:r w:rsidRPr="00EB5B72">
        <w:rPr>
          <w:rFonts w:eastAsia="Times New Roman"/>
          <w:iCs/>
          <w14:ligatures w14:val="none"/>
        </w:rPr>
        <w:t>v</w:t>
      </w:r>
      <w:r w:rsidRPr="00EB5B72">
        <w:rPr>
          <w:rFonts w:eastAsia="Times New Roman"/>
          <w:i/>
          <w14:ligatures w14:val="none"/>
        </w:rPr>
        <w:t xml:space="preserve"> McDowell</w:t>
      </w:r>
      <w:r w:rsidRPr="00EB5B72">
        <w:rPr>
          <w:rFonts w:eastAsia="Times New Roman"/>
          <w:iCs/>
          <w14:ligatures w14:val="none"/>
        </w:rPr>
        <w:t>,</w:t>
      </w:r>
      <w:r w:rsidRPr="00EB5B72">
        <w:rPr>
          <w:rFonts w:eastAsia="Times New Roman"/>
          <w14:ligatures w14:val="none"/>
        </w:rPr>
        <w:t xml:space="preserve"> 9 NY2d 12, 14 [1961] [in a prosecution for assault, character evidence of the </w:t>
      </w:r>
      <w:r w:rsidR="00DD198C" w:rsidRPr="00EB5B72">
        <w:rPr>
          <w:rFonts w:eastAsia="Times New Roman"/>
          <w14:ligatures w14:val="none"/>
        </w:rPr>
        <w:t>“</w:t>
      </w:r>
      <w:r w:rsidRPr="00EB5B72">
        <w:rPr>
          <w:rFonts w:eastAsia="Times New Roman"/>
          <w14:ligatures w14:val="none"/>
        </w:rPr>
        <w:t>defendant</w:t>
      </w:r>
      <w:r w:rsidR="00DD198C" w:rsidRPr="00EB5B72">
        <w:rPr>
          <w:rFonts w:eastAsia="Times New Roman"/>
          <w14:ligatures w14:val="none"/>
        </w:rPr>
        <w:t>’</w:t>
      </w:r>
      <w:r w:rsidRPr="00EB5B72">
        <w:rPr>
          <w:rFonts w:eastAsia="Times New Roman"/>
          <w14:ligatures w14:val="none"/>
        </w:rPr>
        <w:t>s reputation for peacefulness in the community in which he resided</w:t>
      </w:r>
      <w:r w:rsidR="00DD198C" w:rsidRPr="00EB5B72">
        <w:rPr>
          <w:rFonts w:eastAsia="Times New Roman"/>
          <w14:ligatures w14:val="none"/>
        </w:rPr>
        <w:t>”</w:t>
      </w:r>
      <w:r w:rsidRPr="00EB5B72">
        <w:rPr>
          <w:rFonts w:eastAsia="Times New Roman"/>
          <w14:ligatures w14:val="none"/>
        </w:rPr>
        <w:t xml:space="preserve"> was admissible</w:t>
      </w:r>
      <w:r w:rsidR="000F4A13" w:rsidRPr="00EB5B72">
        <w:rPr>
          <w:rFonts w:eastAsia="Times New Roman"/>
          <w14:ligatures w14:val="none"/>
        </w:rPr>
        <w:t>]</w:t>
      </w:r>
      <w:r w:rsidRPr="00EB5B72">
        <w:rPr>
          <w:rFonts w:eastAsia="Times New Roman"/>
          <w14:ligatures w14:val="none"/>
        </w:rPr>
        <w:t>).</w:t>
      </w:r>
    </w:p>
    <w:p w14:paraId="0B64722D" w14:textId="77777777" w:rsidR="00706DCB" w:rsidRPr="00EB5B72" w:rsidRDefault="00706DCB" w:rsidP="008703D5">
      <w:pPr>
        <w:spacing w:before="0"/>
        <w:jc w:val="both"/>
      </w:pPr>
    </w:p>
    <w:p w14:paraId="4C9EF7BF" w14:textId="495C739F" w:rsidR="00F17047" w:rsidRPr="00EB5B72" w:rsidRDefault="00F17047" w:rsidP="008703D5">
      <w:pPr>
        <w:spacing w:before="0"/>
        <w:jc w:val="both"/>
      </w:pPr>
      <w:r w:rsidRPr="00EB5B72">
        <w:tab/>
        <w:t xml:space="preserve">In a criminal proceeding, evidence of a person’s relevant character trait “may in and of itself give rise to a reasonable doubt of guilt where none would otherwise exist.” </w:t>
      </w:r>
      <w:r w:rsidR="00794868" w:rsidRPr="00EB5B72">
        <w:t>(</w:t>
      </w:r>
      <w:r w:rsidRPr="00EB5B72">
        <w:rPr>
          <w:i/>
          <w:iCs/>
        </w:rPr>
        <w:t>People v Bouton</w:t>
      </w:r>
      <w:r w:rsidRPr="00EB5B72">
        <w:t xml:space="preserve">, 50 NY2d 130, 139 [1980], citing </w:t>
      </w:r>
      <w:r w:rsidRPr="00EB5B72">
        <w:rPr>
          <w:i/>
          <w:iCs/>
        </w:rPr>
        <w:t>People v Trimarchi</w:t>
      </w:r>
      <w:r w:rsidRPr="00EB5B72">
        <w:t xml:space="preserve">, 231 NY 263, 266 [1921]; </w:t>
      </w:r>
      <w:r w:rsidRPr="00EB5B72">
        <w:rPr>
          <w:i/>
          <w:iCs/>
        </w:rPr>
        <w:t xml:space="preserve">see </w:t>
      </w:r>
      <w:r w:rsidRPr="00EB5B72">
        <w:rPr>
          <w:i/>
        </w:rPr>
        <w:t>People v Aharonowicz,</w:t>
      </w:r>
      <w:r w:rsidRPr="00EB5B72">
        <w:t xml:space="preserve"> 71 NY2d 678, 68</w:t>
      </w:r>
      <w:r w:rsidR="00794868" w:rsidRPr="00EB5B72">
        <w:t>2</w:t>
      </w:r>
      <w:r w:rsidRPr="00EB5B72">
        <w:t xml:space="preserve"> [1988] [character evidence “may give rise to a reasonable doubt only when in the judgment of the jury it is believed and sufficiently calls into question the credibility of the People</w:t>
      </w:r>
      <w:r w:rsidR="00DD198C" w:rsidRPr="00EB5B72">
        <w:t>’</w:t>
      </w:r>
      <w:r w:rsidRPr="00EB5B72">
        <w:t xml:space="preserve">s evidence tending to establish guilt”]; </w:t>
      </w:r>
      <w:r w:rsidRPr="00EB5B72">
        <w:rPr>
          <w:i/>
          <w:iCs/>
        </w:rPr>
        <w:t>People v Colantone</w:t>
      </w:r>
      <w:r w:rsidRPr="00EB5B72">
        <w:t>, 243 NY 134, 136 [1926] [“This court has frequently stated that evidence of good character is a matter of substance, not of form, in criminal cases, and must be considered by the jury as bearing upon the issue of guilt”].)</w:t>
      </w:r>
    </w:p>
    <w:p w14:paraId="7CF2D4D8" w14:textId="77777777" w:rsidR="00706DCB" w:rsidRPr="00EB5B72" w:rsidRDefault="00706DCB" w:rsidP="008703D5">
      <w:pPr>
        <w:spacing w:before="0"/>
        <w:jc w:val="both"/>
      </w:pPr>
    </w:p>
    <w:p w14:paraId="6D7E5B4D" w14:textId="77777777" w:rsidR="00F17047" w:rsidRPr="00EB5B72" w:rsidRDefault="00F17047" w:rsidP="008703D5">
      <w:pPr>
        <w:spacing w:before="0"/>
        <w:jc w:val="both"/>
      </w:pPr>
      <w:r w:rsidRPr="00EB5B72">
        <w:tab/>
        <w:t xml:space="preserve">Once the defendant puts his or her character in issue, the People may, as the rule states, in rebuttal, challenge the “good” character or character trait elicited by defendant </w:t>
      </w:r>
      <w:r w:rsidRPr="00EB5B72">
        <w:rPr>
          <w:iCs/>
        </w:rPr>
        <w:t>(</w:t>
      </w:r>
      <w:r w:rsidRPr="00EB5B72">
        <w:rPr>
          <w:i/>
          <w:iCs/>
        </w:rPr>
        <w:t>see e.g. People v Richardson</w:t>
      </w:r>
      <w:r w:rsidRPr="00EB5B72">
        <w:t xml:space="preserve">, 222 NY 103, 107 [1917]; </w:t>
      </w:r>
      <w:r w:rsidRPr="00EB5B72">
        <w:rPr>
          <w:i/>
          <w:iCs/>
        </w:rPr>
        <w:t>People v Hinksman</w:t>
      </w:r>
      <w:r w:rsidRPr="00EB5B72">
        <w:t xml:space="preserve">, 192 NY 421, 430-431 [1908]). </w:t>
      </w:r>
    </w:p>
    <w:p w14:paraId="23819BCD" w14:textId="77777777" w:rsidR="00F17047" w:rsidRPr="00EB5B72" w:rsidRDefault="00F17047" w:rsidP="008703D5">
      <w:pPr>
        <w:spacing w:before="0"/>
        <w:jc w:val="both"/>
      </w:pPr>
    </w:p>
    <w:p w14:paraId="3E42C0A5" w14:textId="22C07893" w:rsidR="00F17047" w:rsidRPr="00EB5B72" w:rsidRDefault="00706DCB" w:rsidP="00706DCB">
      <w:pPr>
        <w:tabs>
          <w:tab w:val="left" w:pos="720"/>
        </w:tabs>
        <w:spacing w:before="0"/>
        <w:jc w:val="both"/>
      </w:pPr>
      <w:r w:rsidRPr="00EB5B72">
        <w:rPr>
          <w:b/>
          <w:bCs/>
        </w:rPr>
        <w:tab/>
      </w:r>
      <w:r w:rsidR="00F17047" w:rsidRPr="00EB5B72">
        <w:rPr>
          <w:b/>
          <w:bCs/>
        </w:rPr>
        <w:t>Subdivision (3)</w:t>
      </w:r>
      <w:r w:rsidR="00F17047" w:rsidRPr="00EB5B72">
        <w:t xml:space="preserve"> incorporates by reference the Guide to N</w:t>
      </w:r>
      <w:r w:rsidR="00794868" w:rsidRPr="00EB5B72">
        <w:t xml:space="preserve">ew </w:t>
      </w:r>
      <w:r w:rsidR="00F17047" w:rsidRPr="00EB5B72">
        <w:t>Y</w:t>
      </w:r>
      <w:r w:rsidR="00794868" w:rsidRPr="00EB5B72">
        <w:t>ork</w:t>
      </w:r>
      <w:r w:rsidR="00F17047" w:rsidRPr="00EB5B72">
        <w:t xml:space="preserve"> Evidence rule 6.23 </w:t>
      </w:r>
      <w:r w:rsidR="00794868" w:rsidRPr="00EB5B72">
        <w:t>(</w:t>
      </w:r>
      <w:r w:rsidR="00F17047" w:rsidRPr="00EB5B72">
        <w:t xml:space="preserve">Impeachment by Reputation for Untruthfulness </w:t>
      </w:r>
      <w:r w:rsidR="00794868" w:rsidRPr="00EB5B72">
        <w:t>and</w:t>
      </w:r>
      <w:r w:rsidR="00F17047" w:rsidRPr="00EB5B72">
        <w:t xml:space="preserve"> Rebuttal</w:t>
      </w:r>
      <w:r w:rsidR="00794868" w:rsidRPr="00EB5B72">
        <w:t>)</w:t>
      </w:r>
      <w:r w:rsidR="00F17047" w:rsidRPr="00EB5B72">
        <w:t>.</w:t>
      </w:r>
    </w:p>
    <w:p w14:paraId="21E5441F" w14:textId="77777777" w:rsidR="00F17047" w:rsidRPr="00EB5B72" w:rsidRDefault="00F17047" w:rsidP="008703D5">
      <w:pPr>
        <w:spacing w:before="0"/>
        <w:jc w:val="both"/>
      </w:pPr>
    </w:p>
    <w:p w14:paraId="73732C5B" w14:textId="75CF2CCC" w:rsidR="00F17047" w:rsidRPr="00EB5B72" w:rsidRDefault="00F17047" w:rsidP="008703D5">
      <w:pPr>
        <w:spacing w:before="0"/>
        <w:jc w:val="both"/>
      </w:pPr>
      <w:r w:rsidRPr="00EB5B72">
        <w:rPr>
          <w:b/>
          <w:bCs/>
        </w:rPr>
        <w:tab/>
        <w:t>Subdivision (4). Method of Proof.</w:t>
      </w:r>
      <w:r w:rsidRPr="00EB5B72">
        <w:t xml:space="preserve"> This subdivision states the well-established rule in New York that when a person’s character or character trait is admissible it must be proved by the testimony of that person’s reputation among a “community of individuals,” as defined in subdivision </w:t>
      </w:r>
      <w:r w:rsidR="00794868" w:rsidRPr="00EB5B72">
        <w:t>(</w:t>
      </w:r>
      <w:r w:rsidRPr="00EB5B72">
        <w:t>4</w:t>
      </w:r>
      <w:r w:rsidR="00794868" w:rsidRPr="00EB5B72">
        <w:t>)</w:t>
      </w:r>
      <w:r w:rsidRPr="00EB5B72">
        <w:t xml:space="preserve"> (a</w:t>
      </w:r>
      <w:r w:rsidR="00794868" w:rsidRPr="00EB5B72">
        <w:t>)</w:t>
      </w:r>
      <w:r w:rsidRPr="00EB5B72">
        <w:t xml:space="preserve">, </w:t>
      </w:r>
      <w:r w:rsidRPr="00EB5B72">
        <w:rPr>
          <w:rFonts w:eastAsia="Times New Roman"/>
          <w14:ligatures w14:val="none"/>
        </w:rPr>
        <w:t xml:space="preserve">and the character evidence </w:t>
      </w:r>
      <w:r w:rsidRPr="00EB5B72">
        <w:t>must relate to the trait or traits involved in the charge against the defendant (</w:t>
      </w:r>
      <w:r w:rsidRPr="00EB5B72">
        <w:rPr>
          <w:i/>
          <w:iCs/>
        </w:rPr>
        <w:t>see</w:t>
      </w:r>
      <w:r w:rsidRPr="00EB5B72">
        <w:rPr>
          <w:rFonts w:eastAsia="Times New Roman"/>
          <w:i/>
          <w:iCs/>
          <w:bdr w:val="none" w:sz="0" w:space="0" w:color="auto" w:frame="1"/>
          <w14:ligatures w14:val="none"/>
        </w:rPr>
        <w:t xml:space="preserve"> Bouton</w:t>
      </w:r>
      <w:r w:rsidRPr="00EB5B72">
        <w:rPr>
          <w:rFonts w:eastAsia="Times New Roman"/>
          <w14:ligatures w14:val="none"/>
        </w:rPr>
        <w:t>, 50 NY2d at 139 [</w:t>
      </w:r>
      <w:r w:rsidR="00DD198C" w:rsidRPr="00EB5B72">
        <w:rPr>
          <w:rFonts w:eastAsia="Times New Roman"/>
          <w14:ligatures w14:val="none"/>
        </w:rPr>
        <w:t>“</w:t>
      </w:r>
      <w:r w:rsidRPr="00EB5B72">
        <w:rPr>
          <w:rFonts w:eastAsia="Times New Roman"/>
          <w14:ligatures w14:val="none"/>
        </w:rPr>
        <w:t>While the nature of the defendant</w:t>
      </w:r>
      <w:r w:rsidR="00DD198C" w:rsidRPr="00EB5B72">
        <w:rPr>
          <w:rFonts w:eastAsia="Times New Roman"/>
          <w14:ligatures w14:val="none"/>
        </w:rPr>
        <w:t>’</w:t>
      </w:r>
      <w:r w:rsidRPr="00EB5B72">
        <w:rPr>
          <w:rFonts w:eastAsia="Times New Roman"/>
          <w14:ligatures w14:val="none"/>
        </w:rPr>
        <w:t>s character is the object of the proof, reputation</w:t>
      </w:r>
      <w:r w:rsidR="00794868" w:rsidRPr="00EB5B72">
        <w:rPr>
          <w:rFonts w:eastAsia="Times New Roman"/>
          <w14:ligatures w14:val="none"/>
        </w:rPr>
        <w:t>—</w:t>
      </w:r>
      <w:r w:rsidRPr="00EB5B72">
        <w:rPr>
          <w:rFonts w:eastAsia="Times New Roman"/>
          <w14:ligatures w14:val="none"/>
        </w:rPr>
        <w:t>the aggregate tenor of what others say or do not say about him</w:t>
      </w:r>
      <w:r w:rsidR="00794868" w:rsidRPr="00EB5B72">
        <w:rPr>
          <w:rFonts w:eastAsia="Times New Roman"/>
          <w14:ligatures w14:val="none"/>
        </w:rPr>
        <w:t>—</w:t>
      </w:r>
      <w:r w:rsidRPr="00EB5B72">
        <w:rPr>
          <w:rFonts w:eastAsia="Times New Roman"/>
          <w14:ligatures w14:val="none"/>
        </w:rPr>
        <w:t xml:space="preserve">is the raw material from which that character may be established”]; </w:t>
      </w:r>
      <w:r w:rsidRPr="00EB5B72">
        <w:rPr>
          <w:i/>
          <w:iCs/>
        </w:rPr>
        <w:t>People v Miller</w:t>
      </w:r>
      <w:r w:rsidRPr="00EB5B72">
        <w:t xml:space="preserve">, 35 NY2d 65, 68 [1974]; </w:t>
      </w:r>
      <w:r w:rsidRPr="00EB5B72">
        <w:rPr>
          <w:i/>
          <w:iCs/>
        </w:rPr>
        <w:t>People v Kuss</w:t>
      </w:r>
      <w:r w:rsidRPr="00EB5B72">
        <w:t xml:space="preserve">, 32 NY2d 436, 443 [1973]; </w:t>
      </w:r>
      <w:r w:rsidRPr="00EB5B72">
        <w:rPr>
          <w:i/>
          <w:iCs/>
        </w:rPr>
        <w:t>People v Van Gaasbeck</w:t>
      </w:r>
      <w:r w:rsidRPr="00EB5B72">
        <w:t>, 189 NY 408, 413-415 [1907]).</w:t>
      </w:r>
    </w:p>
    <w:p w14:paraId="23DAFDAB" w14:textId="77777777" w:rsidR="00706DCB" w:rsidRPr="00EB5B72" w:rsidRDefault="00706DCB" w:rsidP="008703D5">
      <w:pPr>
        <w:spacing w:before="0"/>
        <w:jc w:val="both"/>
      </w:pPr>
    </w:p>
    <w:p w14:paraId="65A6A420" w14:textId="23423D93" w:rsidR="00F17047" w:rsidRPr="00EB5B72" w:rsidRDefault="00F17047" w:rsidP="008703D5">
      <w:pPr>
        <w:spacing w:before="0"/>
        <w:jc w:val="both"/>
      </w:pPr>
      <w:r w:rsidRPr="00EB5B72">
        <w:tab/>
        <w:t>The opinions of those who know defendant personally and have firsthand knowledge of defendant’s character are not admissible, nor (except as provided in subdivision [5]) is proof of defendant’s commission of specific acts that may implicate the trait admissible</w:t>
      </w:r>
      <w:r w:rsidRPr="00EB5B72">
        <w:rPr>
          <w:i/>
          <w:iCs/>
        </w:rPr>
        <w:t xml:space="preserve"> </w:t>
      </w:r>
      <w:r w:rsidRPr="00EB5B72">
        <w:rPr>
          <w:iCs/>
        </w:rPr>
        <w:t>(</w:t>
      </w:r>
      <w:r w:rsidRPr="00EB5B72">
        <w:rPr>
          <w:i/>
          <w:iCs/>
        </w:rPr>
        <w:t>Van Gaasbeck</w:t>
      </w:r>
      <w:r w:rsidRPr="00EB5B72">
        <w:t>,</w:t>
      </w:r>
      <w:r w:rsidRPr="00EB5B72">
        <w:rPr>
          <w:i/>
          <w:iCs/>
        </w:rPr>
        <w:t xml:space="preserve"> </w:t>
      </w:r>
      <w:r w:rsidRPr="00EB5B72">
        <w:t xml:space="preserve">189 NY at 415-416). The basis for this limitation as stated by the Court of Appeals in </w:t>
      </w:r>
      <w:r w:rsidRPr="00EB5B72">
        <w:rPr>
          <w:i/>
          <w:iCs/>
        </w:rPr>
        <w:t xml:space="preserve">Van Gaasbeck </w:t>
      </w:r>
      <w:r w:rsidRPr="00EB5B72">
        <w:t>is that “its admission would lead to the introduction into the case of innumerable collateral issues which could not be tried out without introducing the utmost complication and confusion into the trial, tending to distract the minds of the jurymen and befog the chief issue in litigation” (</w:t>
      </w:r>
      <w:r w:rsidRPr="00EB5B72">
        <w:rPr>
          <w:i/>
          <w:iCs/>
        </w:rPr>
        <w:t>id.</w:t>
      </w:r>
      <w:r w:rsidRPr="00EB5B72">
        <w:t xml:space="preserve"> at 418).</w:t>
      </w:r>
    </w:p>
    <w:p w14:paraId="384D7695" w14:textId="77777777" w:rsidR="00706DCB" w:rsidRPr="00EB5B72" w:rsidRDefault="00706DCB" w:rsidP="008703D5">
      <w:pPr>
        <w:spacing w:before="0"/>
        <w:jc w:val="both"/>
      </w:pPr>
    </w:p>
    <w:p w14:paraId="46A4C5B7" w14:textId="5E17D2A4" w:rsidR="00F17047" w:rsidRPr="00EB5B72" w:rsidRDefault="00F17047" w:rsidP="008703D5">
      <w:pPr>
        <w:shd w:val="clear" w:color="auto" w:fill="FFFFFF"/>
        <w:spacing w:before="0"/>
        <w:jc w:val="both"/>
      </w:pPr>
      <w:r w:rsidRPr="00EB5B72">
        <w:rPr>
          <w:i/>
          <w:iCs/>
        </w:rPr>
        <w:tab/>
      </w:r>
      <w:r w:rsidRPr="00EB5B72">
        <w:rPr>
          <w:b/>
          <w:bCs/>
        </w:rPr>
        <w:t>Subdivision (4)</w:t>
      </w:r>
      <w:r w:rsidR="00C07299" w:rsidRPr="00EB5B72">
        <w:rPr>
          <w:b/>
          <w:bCs/>
        </w:rPr>
        <w:t xml:space="preserve"> </w:t>
      </w:r>
      <w:r w:rsidRPr="00EB5B72">
        <w:rPr>
          <w:b/>
          <w:bCs/>
        </w:rPr>
        <w:t>(a)</w:t>
      </w:r>
      <w:r w:rsidRPr="00EB5B72">
        <w:t xml:space="preserve"> is derived from</w:t>
      </w:r>
      <w:r w:rsidRPr="00EB5B72">
        <w:rPr>
          <w:i/>
          <w:iCs/>
        </w:rPr>
        <w:t xml:space="preserve"> Bouton</w:t>
      </w:r>
      <w:r w:rsidRPr="00EB5B72">
        <w:t xml:space="preserve"> </w:t>
      </w:r>
      <w:r w:rsidR="00C07299" w:rsidRPr="00EB5B72">
        <w:t>(</w:t>
      </w:r>
      <w:r w:rsidRPr="00EB5B72">
        <w:t>50 NY2d at 139 [“A reputation may grow wherever an individual</w:t>
      </w:r>
      <w:r w:rsidR="00DD198C" w:rsidRPr="00EB5B72">
        <w:t>’</w:t>
      </w:r>
      <w:r w:rsidRPr="00EB5B72">
        <w:t>s associations are of such quantity and quality as to permit him to be personally observed by a sufficient number of individuals to give reasonable assurance of reliability”]</w:t>
      </w:r>
      <w:r w:rsidR="00C07299" w:rsidRPr="00EB5B72">
        <w:t>;</w:t>
      </w:r>
      <w:r w:rsidRPr="00EB5B72">
        <w:t xml:space="preserve"> </w:t>
      </w:r>
      <w:r w:rsidR="00C07299" w:rsidRPr="00EB5B72">
        <w:rPr>
          <w:i/>
          <w:iCs/>
        </w:rPr>
        <w:t>ac</w:t>
      </w:r>
      <w:r w:rsidRPr="00EB5B72">
        <w:rPr>
          <w:i/>
          <w:iCs/>
        </w:rPr>
        <w:t xml:space="preserve">cord </w:t>
      </w:r>
      <w:r w:rsidRPr="00EB5B72">
        <w:rPr>
          <w:i/>
        </w:rPr>
        <w:t>People v</w:t>
      </w:r>
      <w:r w:rsidRPr="00EB5B72">
        <w:t xml:space="preserve"> </w:t>
      </w:r>
      <w:r w:rsidRPr="00EB5B72">
        <w:rPr>
          <w:i/>
          <w:iCs/>
        </w:rPr>
        <w:t>Fernandez</w:t>
      </w:r>
      <w:r w:rsidRPr="00EB5B72">
        <w:t>, 17 NY3d 70, 76 [2011])</w:t>
      </w:r>
      <w:r w:rsidR="00FB481F" w:rsidRPr="00EB5B72">
        <w:t>.</w:t>
      </w:r>
    </w:p>
    <w:p w14:paraId="5C5DD06E" w14:textId="77777777" w:rsidR="00706DCB" w:rsidRPr="00EB5B72" w:rsidRDefault="00706DCB" w:rsidP="008703D5">
      <w:pPr>
        <w:shd w:val="clear" w:color="auto" w:fill="FFFFFF"/>
        <w:spacing w:before="0"/>
        <w:jc w:val="both"/>
      </w:pPr>
    </w:p>
    <w:p w14:paraId="0ACE97E3" w14:textId="0A8FB9BA" w:rsidR="00F17047" w:rsidRPr="00EB5B72" w:rsidRDefault="00706DCB" w:rsidP="00706DCB">
      <w:pPr>
        <w:shd w:val="clear" w:color="auto" w:fill="FFFFFF"/>
        <w:tabs>
          <w:tab w:val="left" w:pos="720"/>
        </w:tabs>
        <w:spacing w:before="0"/>
        <w:jc w:val="both"/>
        <w:rPr>
          <w:rFonts w:eastAsia="Times New Roman"/>
          <w14:ligatures w14:val="none"/>
        </w:rPr>
      </w:pPr>
      <w:r w:rsidRPr="00EB5B72">
        <w:tab/>
      </w:r>
      <w:r w:rsidR="00F17047" w:rsidRPr="00EB5B72">
        <w:t xml:space="preserve">In </w:t>
      </w:r>
      <w:r w:rsidR="00F17047" w:rsidRPr="00EB5B72">
        <w:rPr>
          <w:i/>
          <w:iCs/>
        </w:rPr>
        <w:t>Bouton</w:t>
      </w:r>
      <w:r w:rsidR="00F17047" w:rsidRPr="00EB5B72">
        <w:t xml:space="preserve">, the proffered reputation evidence was from </w:t>
      </w:r>
      <w:r w:rsidR="00DD198C" w:rsidRPr="00EB5B72">
        <w:rPr>
          <w:rFonts w:eastAsia="Times New Roman"/>
          <w14:ligatures w14:val="none"/>
        </w:rPr>
        <w:t>“</w:t>
      </w:r>
      <w:r w:rsidR="00F17047" w:rsidRPr="00EB5B72">
        <w:rPr>
          <w:rFonts w:eastAsia="Times New Roman"/>
          <w14:ligatures w14:val="none"/>
        </w:rPr>
        <w:t>those who had known [the defendant] in the jewelry business community in which he had actively trafficked for up to 30 years.</w:t>
      </w:r>
      <w:r w:rsidR="00DD198C" w:rsidRPr="00EB5B72">
        <w:rPr>
          <w:rFonts w:eastAsia="Times New Roman"/>
          <w14:ligatures w14:val="none"/>
        </w:rPr>
        <w:t>”</w:t>
      </w:r>
      <w:r w:rsidR="00F17047" w:rsidRPr="00EB5B72">
        <w:rPr>
          <w:rFonts w:eastAsia="Times New Roman"/>
          <w14:ligatures w14:val="none"/>
        </w:rPr>
        <w:t xml:space="preserve"> (</w:t>
      </w:r>
      <w:r w:rsidR="00F17047" w:rsidRPr="00EB5B72">
        <w:rPr>
          <w:rFonts w:eastAsia="Times New Roman"/>
          <w:i/>
          <w:iCs/>
          <w14:ligatures w14:val="none"/>
        </w:rPr>
        <w:t>Id.</w:t>
      </w:r>
      <w:r w:rsidR="00F17047" w:rsidRPr="00EB5B72">
        <w:rPr>
          <w:rFonts w:eastAsia="Times New Roman"/>
          <w14:ligatures w14:val="none"/>
        </w:rPr>
        <w:t xml:space="preserve"> at 138</w:t>
      </w:r>
      <w:r w:rsidR="00C07299" w:rsidRPr="00EB5B72">
        <w:rPr>
          <w:rFonts w:eastAsia="Times New Roman"/>
          <w14:ligatures w14:val="none"/>
        </w:rPr>
        <w:t>.</w:t>
      </w:r>
      <w:r w:rsidR="00F17047" w:rsidRPr="00EB5B72">
        <w:rPr>
          <w:rFonts w:eastAsia="Times New Roman"/>
          <w14:ligatures w14:val="none"/>
        </w:rPr>
        <w:t>)</w:t>
      </w:r>
      <w:r w:rsidR="00FB481F" w:rsidRPr="00EB5B72">
        <w:rPr>
          <w:rFonts w:eastAsia="Times New Roman"/>
          <w14:ligatures w14:val="none"/>
        </w:rPr>
        <w:t xml:space="preserve"> </w:t>
      </w:r>
      <w:r w:rsidR="00F17047" w:rsidRPr="00EB5B72">
        <w:rPr>
          <w:i/>
          <w:iCs/>
        </w:rPr>
        <w:t>Bouton</w:t>
      </w:r>
      <w:r w:rsidR="00F17047" w:rsidRPr="00EB5B72">
        <w:t xml:space="preserve"> found that business community to be an acceptable community of individuals, explaining that a person “might be better known in the community of his employment and in the circle of his vocational fellows, where opportunities to evidence the traits at stake may occur with greater frequency than in the environs of his dwelling place, nestled in the anonymity of a large city or suburb.” </w:t>
      </w:r>
      <w:r w:rsidR="002A7874" w:rsidRPr="00EB5B72">
        <w:t>(</w:t>
      </w:r>
      <w:r w:rsidR="00F17047" w:rsidRPr="00EB5B72">
        <w:rPr>
          <w:i/>
          <w:iCs/>
        </w:rPr>
        <w:t>Bouton</w:t>
      </w:r>
      <w:r w:rsidR="00F17047" w:rsidRPr="00EB5B72">
        <w:t xml:space="preserve"> at 139</w:t>
      </w:r>
      <w:r w:rsidR="002A7874" w:rsidRPr="00EB5B72">
        <w:t>;</w:t>
      </w:r>
      <w:r w:rsidR="00F17047" w:rsidRPr="00EB5B72">
        <w:t xml:space="preserve"> </w:t>
      </w:r>
      <w:r w:rsidR="002A7874" w:rsidRPr="00EB5B72">
        <w:rPr>
          <w:i/>
          <w:iCs/>
        </w:rPr>
        <w:t>c</w:t>
      </w:r>
      <w:r w:rsidR="00F17047" w:rsidRPr="00EB5B72">
        <w:rPr>
          <w:i/>
          <w:iCs/>
        </w:rPr>
        <w:t>f.</w:t>
      </w:r>
      <w:r w:rsidR="00F17047" w:rsidRPr="00EB5B72">
        <w:t xml:space="preserve"> </w:t>
      </w:r>
      <w:r w:rsidR="00F17047" w:rsidRPr="00EB5B72">
        <w:rPr>
          <w:rFonts w:eastAsia="Times New Roman"/>
          <w:i/>
          <w:iCs/>
          <w:bdr w:val="none" w:sz="0" w:space="0" w:color="auto" w:frame="1"/>
          <w14:ligatures w14:val="none"/>
        </w:rPr>
        <w:t>People v Durrant</w:t>
      </w:r>
      <w:r w:rsidR="00F17047" w:rsidRPr="00EB5B72">
        <w:rPr>
          <w:rFonts w:eastAsia="Times New Roman"/>
          <w14:ligatures w14:val="none"/>
        </w:rPr>
        <w:t>, 173 AD3d 890, 892 [2d Dept 2019] [</w:t>
      </w:r>
      <w:r w:rsidR="00DD198C" w:rsidRPr="00EB5B72">
        <w:rPr>
          <w:rFonts w:eastAsia="Times New Roman"/>
          <w14:ligatures w14:val="none"/>
        </w:rPr>
        <w:t>“</w:t>
      </w:r>
      <w:r w:rsidR="00F17047" w:rsidRPr="00EB5B72">
        <w:rPr>
          <w:rFonts w:eastAsia="Times New Roman"/>
          <w14:ligatures w14:val="none"/>
        </w:rPr>
        <w:t>the defendant</w:t>
      </w:r>
      <w:r w:rsidR="00DD198C" w:rsidRPr="00EB5B72">
        <w:rPr>
          <w:rFonts w:eastAsia="Times New Roman"/>
          <w14:ligatures w14:val="none"/>
        </w:rPr>
        <w:t>’</w:t>
      </w:r>
      <w:r w:rsidR="00F17047" w:rsidRPr="00EB5B72">
        <w:rPr>
          <w:rFonts w:eastAsia="Times New Roman"/>
          <w14:ligatures w14:val="none"/>
        </w:rPr>
        <w:t>s reputation in the workplace for lack of sexual impropriety was in no way relevant to whether he sexually abused a child in secret and outside of the workplace”]</w:t>
      </w:r>
      <w:r w:rsidR="002A7874" w:rsidRPr="00EB5B72">
        <w:rPr>
          <w:rFonts w:eastAsia="Times New Roman"/>
          <w14:ligatures w14:val="none"/>
        </w:rPr>
        <w:t>.)</w:t>
      </w:r>
    </w:p>
    <w:p w14:paraId="32A59976" w14:textId="77777777" w:rsidR="00F17047" w:rsidRPr="00EB5B72" w:rsidRDefault="00F17047" w:rsidP="008703D5">
      <w:pPr>
        <w:spacing w:before="0"/>
        <w:jc w:val="both"/>
      </w:pPr>
    </w:p>
    <w:p w14:paraId="15FD0DF9" w14:textId="70364C4E" w:rsidR="00F17047" w:rsidRPr="00EB5B72" w:rsidRDefault="00F17047" w:rsidP="008703D5">
      <w:pPr>
        <w:spacing w:before="0"/>
        <w:jc w:val="both"/>
      </w:pPr>
      <w:r w:rsidRPr="00EB5B72">
        <w:tab/>
      </w:r>
      <w:r w:rsidRPr="00EB5B72">
        <w:rPr>
          <w:b/>
          <w:bCs/>
        </w:rPr>
        <w:t>Subdivision (4) (b)</w:t>
      </w:r>
      <w:r w:rsidRPr="00EB5B72">
        <w:t xml:space="preserve"> is derived from </w:t>
      </w:r>
      <w:r w:rsidRPr="00EB5B72">
        <w:rPr>
          <w:i/>
        </w:rPr>
        <w:t>People v</w:t>
      </w:r>
      <w:r w:rsidRPr="00EB5B72">
        <w:t xml:space="preserve"> </w:t>
      </w:r>
      <w:bookmarkStart w:id="0" w:name="_Hlk189170194"/>
      <w:r w:rsidRPr="00EB5B72">
        <w:rPr>
          <w:i/>
          <w:iCs/>
        </w:rPr>
        <w:t>Fernandez</w:t>
      </w:r>
      <w:r w:rsidRPr="00EB5B72">
        <w:t xml:space="preserve"> </w:t>
      </w:r>
      <w:r w:rsidR="00B40039" w:rsidRPr="00EB5B72">
        <w:t>(</w:t>
      </w:r>
      <w:r w:rsidRPr="00EB5B72">
        <w:t>17 NY3d at 76-</w:t>
      </w:r>
      <w:bookmarkEnd w:id="0"/>
      <w:r w:rsidRPr="00EB5B72">
        <w:t xml:space="preserve">77 [a proper foundation is laid for reputation evidence </w:t>
      </w:r>
      <w:r w:rsidRPr="00EB5B72">
        <w:rPr>
          <w:rFonts w:eastAsia="Times New Roman"/>
          <w14:ligatures w14:val="none"/>
        </w:rPr>
        <w:t>“where the testifying witnesses report the views of a sufficient number of people, and those views are based on sufficient experience with the person whose character is in question”]</w:t>
      </w:r>
      <w:r w:rsidR="00B40039" w:rsidRPr="00EB5B72">
        <w:rPr>
          <w:rFonts w:eastAsia="Times New Roman"/>
          <w14:ligatures w14:val="none"/>
        </w:rPr>
        <w:t>)</w:t>
      </w:r>
      <w:r w:rsidRPr="00EB5B72">
        <w:rPr>
          <w:rFonts w:eastAsia="Times New Roman"/>
          <w14:ligatures w14:val="none"/>
        </w:rPr>
        <w:t xml:space="preserve"> </w:t>
      </w:r>
      <w:r w:rsidRPr="00EB5B72">
        <w:t xml:space="preserve">and </w:t>
      </w:r>
      <w:r w:rsidRPr="00EB5B72">
        <w:rPr>
          <w:i/>
          <w:iCs/>
        </w:rPr>
        <w:t>People v Hanley</w:t>
      </w:r>
      <w:r w:rsidRPr="00EB5B72">
        <w:t xml:space="preserve"> (5 NY3d 108, 113-114 [2005] [a proper foundation was laid when the witness “worked in a close setting with (the person) and regularly interacted and communicated with the same group of people”]).</w:t>
      </w:r>
    </w:p>
    <w:p w14:paraId="42ADD59F" w14:textId="77777777" w:rsidR="00706DCB" w:rsidRPr="00EB5B72" w:rsidRDefault="00706DCB" w:rsidP="008703D5">
      <w:pPr>
        <w:spacing w:before="0"/>
        <w:jc w:val="both"/>
      </w:pPr>
    </w:p>
    <w:p w14:paraId="3ADF5606" w14:textId="706F0F73" w:rsidR="00F27AC8" w:rsidRPr="00EB5B72" w:rsidRDefault="00706DCB" w:rsidP="00706DCB">
      <w:pPr>
        <w:shd w:val="clear" w:color="auto" w:fill="FFFFFF"/>
        <w:tabs>
          <w:tab w:val="left" w:pos="720"/>
        </w:tabs>
        <w:spacing w:before="0"/>
        <w:jc w:val="both"/>
        <w:rPr>
          <w:rFonts w:eastAsia="Times New Roman"/>
          <w:kern w:val="0"/>
          <w14:ligatures w14:val="none"/>
        </w:rPr>
      </w:pPr>
      <w:r w:rsidRPr="00EB5B72">
        <w:rPr>
          <w:rFonts w:eastAsia="Times New Roman"/>
          <w:kern w:val="0"/>
          <w14:ligatures w14:val="none"/>
        </w:rPr>
        <w:tab/>
      </w:r>
      <w:r w:rsidR="003D4271" w:rsidRPr="00EB5B72">
        <w:rPr>
          <w:rFonts w:eastAsia="Times New Roman"/>
          <w:kern w:val="0"/>
          <w14:ligatures w14:val="none"/>
        </w:rPr>
        <w:t xml:space="preserve">Whether </w:t>
      </w:r>
      <w:r w:rsidR="00F81AA0" w:rsidRPr="00EB5B72">
        <w:rPr>
          <w:rFonts w:eastAsia="Times New Roman"/>
          <w:kern w:val="0"/>
          <w14:ligatures w14:val="none"/>
        </w:rPr>
        <w:t>the proffered reputation evidence is reliable</w:t>
      </w:r>
      <w:r w:rsidR="00C10878" w:rsidRPr="00EB5B72">
        <w:rPr>
          <w:rFonts w:eastAsia="Times New Roman"/>
          <w:kern w:val="0"/>
          <w14:ligatures w14:val="none"/>
        </w:rPr>
        <w:t>, i.e. “whether a character witness has established a proper basis for</w:t>
      </w:r>
      <w:r w:rsidR="002D2614" w:rsidRPr="00EB5B72">
        <w:rPr>
          <w:rFonts w:eastAsia="Times New Roman"/>
          <w:kern w:val="0"/>
          <w14:ligatures w14:val="none"/>
        </w:rPr>
        <w:t xml:space="preserve"> knowing” </w:t>
      </w:r>
      <w:r w:rsidR="004D30B7" w:rsidRPr="00EB5B72">
        <w:rPr>
          <w:rFonts w:eastAsia="Times New Roman"/>
          <w:kern w:val="0"/>
          <w14:ligatures w14:val="none"/>
        </w:rPr>
        <w:t>a person’s</w:t>
      </w:r>
      <w:r w:rsidR="002D2614" w:rsidRPr="00EB5B72">
        <w:rPr>
          <w:rFonts w:eastAsia="Times New Roman"/>
          <w:kern w:val="0"/>
          <w14:ligatures w14:val="none"/>
        </w:rPr>
        <w:t xml:space="preserve"> reputation, “</w:t>
      </w:r>
      <w:r w:rsidR="003D4271" w:rsidRPr="00EB5B72">
        <w:rPr>
          <w:rFonts w:eastAsia="Times New Roman"/>
          <w:kern w:val="0"/>
          <w14:ligatures w14:val="none"/>
        </w:rPr>
        <w:t>is a question of law for the court</w:t>
      </w:r>
      <w:r w:rsidR="002D2614" w:rsidRPr="00EB5B72">
        <w:rPr>
          <w:rFonts w:eastAsia="Times New Roman"/>
          <w:kern w:val="0"/>
          <w14:ligatures w14:val="none"/>
        </w:rPr>
        <w:t>”; “</w:t>
      </w:r>
      <w:r w:rsidR="00F27AC8" w:rsidRPr="00EB5B72">
        <w:rPr>
          <w:rFonts w:eastAsia="Times New Roman"/>
          <w:kern w:val="0"/>
          <w14:ligatures w14:val="none"/>
        </w:rPr>
        <w:t>whether that witness is worthy or unworthy of belief or is motivated by bias</w:t>
      </w:r>
      <w:r w:rsidR="00B3173C" w:rsidRPr="00EB5B72">
        <w:rPr>
          <w:rFonts w:eastAsia="Times New Roman"/>
          <w:kern w:val="0"/>
          <w14:ligatures w14:val="none"/>
        </w:rPr>
        <w:t xml:space="preserve"> . . . </w:t>
      </w:r>
      <w:r w:rsidR="00F27AC8" w:rsidRPr="00EB5B72">
        <w:rPr>
          <w:rFonts w:eastAsia="Times New Roman"/>
          <w:kern w:val="0"/>
          <w14:ligatures w14:val="none"/>
        </w:rPr>
        <w:t xml:space="preserve">is a factual question for </w:t>
      </w:r>
      <w:r w:rsidR="002E2265" w:rsidRPr="00EB5B72">
        <w:rPr>
          <w:rFonts w:eastAsia="Times New Roman"/>
          <w:kern w:val="0"/>
          <w14:ligatures w14:val="none"/>
        </w:rPr>
        <w:t>the jury</w:t>
      </w:r>
      <w:r w:rsidR="00F27AC8" w:rsidRPr="00EB5B72">
        <w:rPr>
          <w:rFonts w:eastAsia="Times New Roman"/>
          <w:kern w:val="0"/>
          <w14:ligatures w14:val="none"/>
        </w:rPr>
        <w:t>. We caution that a trial court should not use reliability as a ground for excluding evidence it believes is not credible.</w:t>
      </w:r>
      <w:r w:rsidR="002E2265" w:rsidRPr="00EB5B72">
        <w:rPr>
          <w:rFonts w:eastAsia="Times New Roman"/>
          <w:kern w:val="0"/>
          <w14:ligatures w14:val="none"/>
        </w:rPr>
        <w:t>”</w:t>
      </w:r>
      <w:r w:rsidR="00B40039" w:rsidRPr="00EB5B72">
        <w:rPr>
          <w:rFonts w:eastAsia="Times New Roman"/>
          <w:kern w:val="0"/>
          <w14:ligatures w14:val="none"/>
        </w:rPr>
        <w:t xml:space="preserve"> (</w:t>
      </w:r>
      <w:r w:rsidR="00EC74E0" w:rsidRPr="00EB5B72">
        <w:rPr>
          <w:i/>
          <w:iCs/>
        </w:rPr>
        <w:t>Fernandez</w:t>
      </w:r>
      <w:r w:rsidR="00EC74E0" w:rsidRPr="00EB5B72">
        <w:t xml:space="preserve"> </w:t>
      </w:r>
      <w:r w:rsidR="00484F6F" w:rsidRPr="00EB5B72">
        <w:t>at 77.</w:t>
      </w:r>
      <w:r w:rsidR="00B40039" w:rsidRPr="00EB5B72">
        <w:t>)</w:t>
      </w:r>
    </w:p>
    <w:p w14:paraId="05A572D4" w14:textId="77777777" w:rsidR="00706DCB" w:rsidRPr="00EB5B72" w:rsidRDefault="00706DCB" w:rsidP="008703D5">
      <w:pPr>
        <w:spacing w:before="0"/>
        <w:jc w:val="both"/>
      </w:pPr>
    </w:p>
    <w:p w14:paraId="35C7A3F3" w14:textId="21E913B3" w:rsidR="00F17047" w:rsidRPr="00EB5B72" w:rsidRDefault="00F17047" w:rsidP="008703D5">
      <w:pPr>
        <w:spacing w:before="0"/>
        <w:jc w:val="both"/>
      </w:pPr>
      <w:r w:rsidRPr="00EB5B72">
        <w:tab/>
        <w:t>Upon establishing a foundation, a witness may testify that “I have heard the reputation for the relevant character or character trait is good,” or to the fact that since the witness has never heard anything contrary to the relevant character or character trait, defendant’s reputation must be “good” (</w:t>
      </w:r>
      <w:r w:rsidRPr="00EB5B72">
        <w:rPr>
          <w:i/>
          <w:iCs/>
        </w:rPr>
        <w:t>Van Gaasbeck</w:t>
      </w:r>
      <w:r w:rsidRPr="00EB5B72">
        <w:rPr>
          <w:iCs/>
        </w:rPr>
        <w:t>,</w:t>
      </w:r>
      <w:r w:rsidRPr="00EB5B72">
        <w:rPr>
          <w:i/>
          <w:iCs/>
        </w:rPr>
        <w:t xml:space="preserve"> </w:t>
      </w:r>
      <w:r w:rsidRPr="00EB5B72">
        <w:t>189 NY at 420</w:t>
      </w:r>
      <w:r w:rsidR="00B40039" w:rsidRPr="00EB5B72">
        <w:t>)</w:t>
      </w:r>
      <w:r w:rsidR="00FB481F" w:rsidRPr="00EB5B72">
        <w:t xml:space="preserve">. </w:t>
      </w:r>
      <w:r w:rsidRPr="00EB5B72">
        <w:t xml:space="preserve">And </w:t>
      </w:r>
      <w:r w:rsidR="0038616C" w:rsidRPr="00EB5B72">
        <w:t>“</w:t>
      </w:r>
      <w:r w:rsidRPr="00EB5B72">
        <w:t xml:space="preserve">the fact that the offer [testimony] consisted solely of </w:t>
      </w:r>
      <w:r w:rsidR="00CB33CA" w:rsidRPr="00EB5B72">
        <w:t>‘</w:t>
      </w:r>
      <w:r w:rsidRPr="00EB5B72">
        <w:t xml:space="preserve">negative evidence’—i.e., the absence of adverse comment on the pertinent aspects of defendant’s character—could not in itself be the basis for an exclusionary ruling.” </w:t>
      </w:r>
      <w:r w:rsidR="00B40039" w:rsidRPr="00EB5B72">
        <w:t>(</w:t>
      </w:r>
      <w:r w:rsidRPr="00EB5B72">
        <w:rPr>
          <w:i/>
          <w:iCs/>
        </w:rPr>
        <w:t>Bouton</w:t>
      </w:r>
      <w:r w:rsidRPr="00EB5B72">
        <w:t>, 50 NY2d at 140</w:t>
      </w:r>
      <w:r w:rsidR="0087784F" w:rsidRPr="00EB5B72">
        <w:t>.</w:t>
      </w:r>
      <w:r w:rsidR="00B40039" w:rsidRPr="00EB5B72">
        <w:t>)</w:t>
      </w:r>
    </w:p>
    <w:p w14:paraId="3456BF83" w14:textId="77777777" w:rsidR="00A42F30" w:rsidRPr="00EB5B72" w:rsidRDefault="00A42F30" w:rsidP="008703D5">
      <w:pPr>
        <w:spacing w:before="0"/>
        <w:jc w:val="both"/>
      </w:pPr>
    </w:p>
    <w:p w14:paraId="59A04D6B" w14:textId="6295FBCC" w:rsidR="001344EC" w:rsidRPr="00EB5B72" w:rsidRDefault="00F17047" w:rsidP="008703D5">
      <w:pPr>
        <w:spacing w:before="0"/>
        <w:jc w:val="both"/>
      </w:pPr>
      <w:r w:rsidRPr="00EB5B72">
        <w:tab/>
      </w:r>
      <w:r w:rsidRPr="00EB5B72">
        <w:rPr>
          <w:b/>
          <w:bCs/>
        </w:rPr>
        <w:t xml:space="preserve">Subdivision (5) (a) </w:t>
      </w:r>
      <w:r w:rsidRPr="00EB5B72">
        <w:t>restates CPL 60.40 (2)</w:t>
      </w:r>
      <w:r w:rsidR="00B40039" w:rsidRPr="00EB5B72">
        <w:t>,</w:t>
      </w:r>
      <w:r w:rsidR="00C12082" w:rsidRPr="00EB5B72">
        <w:t xml:space="preserve"> </w:t>
      </w:r>
      <w:r w:rsidR="003B71EC" w:rsidRPr="00EB5B72">
        <w:t xml:space="preserve">which </w:t>
      </w:r>
      <w:r w:rsidR="00C12082" w:rsidRPr="00EB5B72">
        <w:t xml:space="preserve">provides </w:t>
      </w:r>
      <w:r w:rsidR="00422958" w:rsidRPr="00EB5B72">
        <w:t>that “</w:t>
      </w:r>
      <w:r w:rsidR="00B40039" w:rsidRPr="00EB5B72">
        <w:t>[i]</w:t>
      </w:r>
      <w:r w:rsidR="00085654" w:rsidRPr="00EB5B72">
        <w:t xml:space="preserve">f a defendant in a criminal proceeding, through the testimony of a witness called by </w:t>
      </w:r>
      <w:r w:rsidR="00085654" w:rsidRPr="00EB5B72">
        <w:lastRenderedPageBreak/>
        <w:t>him, offers evidence of his good character, the people may independently prove any previous conviction of the defendant for an offense the commission of which would tend to negate any character trait or quality attributed to the defendant in such witness</w:t>
      </w:r>
      <w:r w:rsidR="00DD198C" w:rsidRPr="00EB5B72">
        <w:t>’</w:t>
      </w:r>
      <w:r w:rsidR="00085654" w:rsidRPr="00EB5B72">
        <w:t xml:space="preserve"> testimony.</w:t>
      </w:r>
      <w:r w:rsidR="00520834" w:rsidRPr="00EB5B72">
        <w:t xml:space="preserve">” </w:t>
      </w:r>
      <w:r w:rsidRPr="00EB5B72">
        <w:t>(</w:t>
      </w:r>
      <w:r w:rsidRPr="00EB5B72">
        <w:rPr>
          <w:i/>
          <w:iCs/>
        </w:rPr>
        <w:t xml:space="preserve">See </w:t>
      </w:r>
      <w:r w:rsidRPr="00EB5B72">
        <w:t>William C. Donnino, Prac Commentary, McKinney’s Cons Laws of NY, CPL 60.40 at subd two.)</w:t>
      </w:r>
    </w:p>
    <w:p w14:paraId="0097C874" w14:textId="77777777" w:rsidR="000449D0" w:rsidRPr="00EB5B72" w:rsidRDefault="000449D0" w:rsidP="008703D5">
      <w:pPr>
        <w:spacing w:before="0"/>
        <w:jc w:val="both"/>
      </w:pPr>
    </w:p>
    <w:p w14:paraId="08829E68" w14:textId="27F677E9" w:rsidR="00F17047" w:rsidRPr="00EB5B72" w:rsidRDefault="00F17047" w:rsidP="008703D5">
      <w:pPr>
        <w:spacing w:before="0"/>
        <w:jc w:val="both"/>
      </w:pPr>
      <w:r w:rsidRPr="00EB5B72">
        <w:tab/>
      </w:r>
      <w:r w:rsidRPr="00EB5B72">
        <w:rPr>
          <w:b/>
          <w:bCs/>
        </w:rPr>
        <w:t>Subdivision (5) (b)</w:t>
      </w:r>
      <w:r w:rsidRPr="00EB5B72">
        <w:t xml:space="preserve"> restates the rule in CPL 60.40 (3) that</w:t>
      </w:r>
      <w:r w:rsidR="002D2CE6" w:rsidRPr="00EB5B72">
        <w:t xml:space="preserve"> </w:t>
      </w:r>
      <w:r w:rsidR="00472BC6" w:rsidRPr="00EB5B72">
        <w:t>“</w:t>
      </w:r>
      <w:r w:rsidR="00B74131" w:rsidRPr="00EB5B72">
        <w:t>t</w:t>
      </w:r>
      <w:r w:rsidR="006344A5" w:rsidRPr="00EB5B72">
        <w:t xml:space="preserve">he </w:t>
      </w:r>
      <w:r w:rsidR="00AF5D83" w:rsidRPr="00EB5B72">
        <w:t>p</w:t>
      </w:r>
      <w:r w:rsidR="006344A5" w:rsidRPr="00EB5B72">
        <w:t>eople may prove that a defendant has been previously convicted of an offense”</w:t>
      </w:r>
      <w:r w:rsidR="004D5F92" w:rsidRPr="00EB5B72">
        <w:t xml:space="preserve"> </w:t>
      </w:r>
      <w:r w:rsidR="00E57568" w:rsidRPr="00EB5B72">
        <w:t xml:space="preserve">when substantive law states that a “previous conviction constitutes an element of the offense charged, or proof thereof is otherwise essential to the establishment of a legally sufficient case,” </w:t>
      </w:r>
      <w:r w:rsidRPr="00EB5B72">
        <w:t xml:space="preserve">unless the defendant has </w:t>
      </w:r>
      <w:r w:rsidR="000449D0" w:rsidRPr="00EB5B72">
        <w:t>admitted the previous conviction pursuant to</w:t>
      </w:r>
      <w:r w:rsidRPr="00EB5B72">
        <w:t xml:space="preserve"> CPL 200.60 or 200.63. (</w:t>
      </w:r>
      <w:r w:rsidRPr="00EB5B72">
        <w:rPr>
          <w:i/>
          <w:iCs/>
        </w:rPr>
        <w:t xml:space="preserve">See </w:t>
      </w:r>
      <w:r w:rsidRPr="00EB5B72">
        <w:t>William C. Donnino, Prac Commentary, McKinney’s Cons Laws of NY, CPL 60.40 at subd three.)</w:t>
      </w:r>
    </w:p>
    <w:p w14:paraId="655C39E9" w14:textId="77777777" w:rsidR="00794E1F" w:rsidRPr="00EB5B72" w:rsidRDefault="00794E1F" w:rsidP="008703D5">
      <w:pPr>
        <w:spacing w:before="0"/>
        <w:jc w:val="both"/>
      </w:pPr>
    </w:p>
    <w:p w14:paraId="13EA7106" w14:textId="6125DD4F" w:rsidR="00526B7A" w:rsidRPr="00EB5B72" w:rsidRDefault="00F17047" w:rsidP="008703D5">
      <w:pPr>
        <w:widowControl w:val="0"/>
        <w:autoSpaceDE w:val="0"/>
        <w:autoSpaceDN w:val="0"/>
        <w:adjustRightInd w:val="0"/>
        <w:spacing w:before="0"/>
        <w:jc w:val="both"/>
        <w:rPr>
          <w:rFonts w:eastAsia="Times New Roman"/>
          <w:bdr w:val="none" w:sz="0" w:space="0" w:color="auto" w:frame="1"/>
          <w:shd w:val="clear" w:color="auto" w:fill="FFFFFF"/>
          <w14:ligatures w14:val="none"/>
        </w:rPr>
      </w:pPr>
      <w:r w:rsidRPr="00EB5B72">
        <w:tab/>
      </w:r>
      <w:r w:rsidRPr="00EB5B72">
        <w:rPr>
          <w:b/>
          <w:bCs/>
        </w:rPr>
        <w:t>Subdivision (5) (</w:t>
      </w:r>
      <w:r w:rsidR="00B079EC" w:rsidRPr="00EB5B72">
        <w:rPr>
          <w:b/>
          <w:bCs/>
        </w:rPr>
        <w:t>c</w:t>
      </w:r>
      <w:r w:rsidRPr="00EB5B72">
        <w:rPr>
          <w:b/>
          <w:bCs/>
        </w:rPr>
        <w:t>)</w:t>
      </w:r>
      <w:r w:rsidRPr="00EB5B72">
        <w:t xml:space="preserve"> is derived from</w:t>
      </w:r>
      <w:bookmarkStart w:id="1" w:name="OLE_LINK5"/>
      <w:r w:rsidR="00391CEB" w:rsidRPr="00EB5B72">
        <w:t xml:space="preserve"> </w:t>
      </w:r>
      <w:r w:rsidRPr="00EB5B72">
        <w:rPr>
          <w:i/>
          <w:iCs/>
        </w:rPr>
        <w:t>Park v New York Cent. &amp; Hudson Riv. R.R. Co.</w:t>
      </w:r>
      <w:r w:rsidRPr="00EB5B72">
        <w:t xml:space="preserve"> </w:t>
      </w:r>
      <w:r w:rsidR="00F211A8" w:rsidRPr="00EB5B72">
        <w:t>(</w:t>
      </w:r>
      <w:r w:rsidRPr="00EB5B72">
        <w:t>155 NY 215, 219 [1898]</w:t>
      </w:r>
      <w:r w:rsidR="00391CEB" w:rsidRPr="00EB5B72">
        <w:t xml:space="preserve"> [</w:t>
      </w:r>
      <w:r w:rsidR="00966B90" w:rsidRPr="00EB5B72">
        <w:t xml:space="preserve">the “rule is to require incompetency </w:t>
      </w:r>
      <w:r w:rsidR="00F211A8" w:rsidRPr="00EB5B72">
        <w:t>(</w:t>
      </w:r>
      <w:r w:rsidR="00966B90" w:rsidRPr="00EB5B72">
        <w:t xml:space="preserve">of </w:t>
      </w:r>
      <w:r w:rsidR="00624C81" w:rsidRPr="00EB5B72">
        <w:t>a servant</w:t>
      </w:r>
      <w:r w:rsidR="00F211A8" w:rsidRPr="00EB5B72">
        <w:t>)</w:t>
      </w:r>
      <w:r w:rsidR="00624C81" w:rsidRPr="00EB5B72">
        <w:t xml:space="preserve"> to be shown by the specific acts of the servant, and then, that the master knew or ought to have known of such incompetency. The latter may be shown by evidence tending to establish that such incompetency was generally known in the community”]</w:t>
      </w:r>
      <w:r w:rsidR="00F211A8" w:rsidRPr="00EB5B72">
        <w:t>)</w:t>
      </w:r>
      <w:r w:rsidR="00624C81" w:rsidRPr="00EB5B72">
        <w:t xml:space="preserve"> </w:t>
      </w:r>
      <w:r w:rsidR="007942CA" w:rsidRPr="00EB5B72">
        <w:t>and its progeny. (</w:t>
      </w:r>
      <w:r w:rsidR="00C676E7" w:rsidRPr="00EB5B72">
        <w:rPr>
          <w:i/>
          <w:iCs/>
        </w:rPr>
        <w:t>See</w:t>
      </w:r>
      <w:r w:rsidR="00C676E7" w:rsidRPr="00EB5B72">
        <w:t xml:space="preserve"> </w:t>
      </w:r>
      <w:r w:rsidR="00624C81" w:rsidRPr="00EB5B72">
        <w:rPr>
          <w:rFonts w:eastAsia="Times New Roman"/>
          <w:i/>
          <w:iCs/>
          <w:bdr w:val="none" w:sz="0" w:space="0" w:color="auto" w:frame="1"/>
          <w14:ligatures w14:val="none"/>
        </w:rPr>
        <w:t>McDermott v Daniell</w:t>
      </w:r>
      <w:r w:rsidR="00624C81" w:rsidRPr="00EB5B72">
        <w:rPr>
          <w:rFonts w:eastAsia="Times New Roman"/>
          <w14:ligatures w14:val="none"/>
        </w:rPr>
        <w:t>, 121 A</w:t>
      </w:r>
      <w:r w:rsidR="00F211A8" w:rsidRPr="00EB5B72">
        <w:rPr>
          <w:rFonts w:eastAsia="Times New Roman"/>
          <w14:ligatures w14:val="none"/>
        </w:rPr>
        <w:t xml:space="preserve">pp </w:t>
      </w:r>
      <w:r w:rsidR="00624C81" w:rsidRPr="00EB5B72">
        <w:rPr>
          <w:rFonts w:eastAsia="Times New Roman"/>
          <w14:ligatures w14:val="none"/>
        </w:rPr>
        <w:t>D</w:t>
      </w:r>
      <w:r w:rsidR="00F211A8" w:rsidRPr="00EB5B72">
        <w:rPr>
          <w:rFonts w:eastAsia="Times New Roman"/>
          <w14:ligatures w14:val="none"/>
        </w:rPr>
        <w:t>iv</w:t>
      </w:r>
      <w:r w:rsidR="00624C81" w:rsidRPr="00EB5B72">
        <w:rPr>
          <w:rFonts w:eastAsia="Times New Roman"/>
          <w14:ligatures w14:val="none"/>
        </w:rPr>
        <w:t xml:space="preserve"> 736, 737 [1st Dept 1907] [“The respondent concedes the general rule in this </w:t>
      </w:r>
      <w:r w:rsidR="00F211A8" w:rsidRPr="00EB5B72">
        <w:rPr>
          <w:rFonts w:eastAsia="Times New Roman"/>
          <w14:ligatures w14:val="none"/>
        </w:rPr>
        <w:t>(</w:t>
      </w:r>
      <w:r w:rsidR="00624C81" w:rsidRPr="00EB5B72">
        <w:rPr>
          <w:rFonts w:eastAsia="Times New Roman"/>
          <w14:ligatures w14:val="none"/>
        </w:rPr>
        <w:t>s</w:t>
      </w:r>
      <w:r w:rsidR="00F211A8" w:rsidRPr="00EB5B72">
        <w:rPr>
          <w:rFonts w:eastAsia="Times New Roman"/>
          <w14:ligatures w14:val="none"/>
        </w:rPr>
        <w:t>)</w:t>
      </w:r>
      <w:r w:rsidR="00624C81" w:rsidRPr="00EB5B72">
        <w:rPr>
          <w:rFonts w:eastAsia="Times New Roman"/>
          <w14:ligatures w14:val="none"/>
        </w:rPr>
        <w:t xml:space="preserve">tate to be as declared in </w:t>
      </w:r>
      <w:r w:rsidR="00624C81" w:rsidRPr="00EB5B72">
        <w:rPr>
          <w:rFonts w:eastAsia="Times New Roman"/>
          <w:i/>
          <w:iCs/>
          <w:bdr w:val="none" w:sz="0" w:space="0" w:color="auto" w:frame="1"/>
          <w:shd w:val="clear" w:color="auto" w:fill="FFFFFF"/>
          <w14:ligatures w14:val="none"/>
        </w:rPr>
        <w:t>Park v. N. Y. Central</w:t>
      </w:r>
      <w:r w:rsidR="00624C81" w:rsidRPr="00EB5B72">
        <w:rPr>
          <w:rFonts w:eastAsia="Times New Roman"/>
          <w:bdr w:val="none" w:sz="0" w:space="0" w:color="auto" w:frame="1"/>
          <w:shd w:val="clear" w:color="auto" w:fill="FFFFFF"/>
          <w14:ligatures w14:val="none"/>
        </w:rPr>
        <w:t xml:space="preserve"> </w:t>
      </w:r>
      <w:r w:rsidR="00624C81" w:rsidRPr="00EB5B72">
        <w:rPr>
          <w:rFonts w:eastAsia="Times New Roman"/>
          <w:i/>
          <w:iCs/>
          <w:bdr w:val="none" w:sz="0" w:space="0" w:color="auto" w:frame="1"/>
          <w:shd w:val="clear" w:color="auto" w:fill="FFFFFF"/>
          <w14:ligatures w14:val="none"/>
        </w:rPr>
        <w:t>&amp; H. R. R.</w:t>
      </w:r>
      <w:r w:rsidR="001002C7" w:rsidRPr="00EB5B72">
        <w:rPr>
          <w:rFonts w:eastAsia="Times New Roman"/>
          <w:i/>
          <w:iCs/>
          <w:bdr w:val="none" w:sz="0" w:space="0" w:color="auto" w:frame="1"/>
          <w:shd w:val="clear" w:color="auto" w:fill="FFFFFF"/>
          <w14:ligatures w14:val="none"/>
        </w:rPr>
        <w:t xml:space="preserve"> R.</w:t>
      </w:r>
      <w:r w:rsidR="00624C81" w:rsidRPr="00EB5B72">
        <w:rPr>
          <w:rFonts w:eastAsia="Times New Roman"/>
          <w:i/>
          <w:iCs/>
          <w:bdr w:val="none" w:sz="0" w:space="0" w:color="auto" w:frame="1"/>
          <w:shd w:val="clear" w:color="auto" w:fill="FFFFFF"/>
          <w14:ligatures w14:val="none"/>
        </w:rPr>
        <w:t xml:space="preserve"> Co</w:t>
      </w:r>
      <w:r w:rsidR="00624C81" w:rsidRPr="00EB5B72">
        <w:rPr>
          <w:rFonts w:eastAsia="Times New Roman"/>
          <w:bdr w:val="none" w:sz="0" w:space="0" w:color="auto" w:frame="1"/>
          <w:shd w:val="clear" w:color="auto" w:fill="FFFFFF"/>
          <w14:ligatures w14:val="none"/>
        </w:rPr>
        <w:t xml:space="preserve">. </w:t>
      </w:r>
      <w:r w:rsidR="00F211A8" w:rsidRPr="00EB5B72">
        <w:rPr>
          <w:rFonts w:eastAsia="Times New Roman"/>
          <w:bdr w:val="none" w:sz="0" w:space="0" w:color="auto" w:frame="1"/>
          <w:shd w:val="clear" w:color="auto" w:fill="FFFFFF"/>
          <w14:ligatures w14:val="none"/>
        </w:rPr>
        <w:t>(</w:t>
      </w:r>
      <w:r w:rsidR="00624C81" w:rsidRPr="00EB5B72">
        <w:rPr>
          <w:rFonts w:eastAsia="Times New Roman"/>
          <w:bdr w:val="none" w:sz="0" w:space="0" w:color="auto" w:frame="1"/>
          <w:shd w:val="clear" w:color="auto" w:fill="FFFFFF"/>
          <w14:ligatures w14:val="none"/>
        </w:rPr>
        <w:t>155 N. Y. 215</w:t>
      </w:r>
      <w:r w:rsidR="00F211A8" w:rsidRPr="00EB5B72">
        <w:rPr>
          <w:rFonts w:eastAsia="Times New Roman"/>
          <w:bdr w:val="none" w:sz="0" w:space="0" w:color="auto" w:frame="1"/>
          <w:shd w:val="clear" w:color="auto" w:fill="FFFFFF"/>
          <w14:ligatures w14:val="none"/>
        </w:rPr>
        <w:t>)</w:t>
      </w:r>
      <w:r w:rsidR="00624C81" w:rsidRPr="00EB5B72">
        <w:rPr>
          <w:rFonts w:eastAsia="Times New Roman"/>
          <w:bdr w:val="none" w:sz="0" w:space="0" w:color="auto" w:frame="1"/>
          <w:shd w:val="clear" w:color="auto" w:fill="FFFFFF"/>
          <w14:ligatures w14:val="none"/>
        </w:rPr>
        <w:t>,</w:t>
      </w:r>
      <w:r w:rsidR="00624C81" w:rsidRPr="00EB5B72">
        <w:rPr>
          <w:rFonts w:eastAsia="Times New Roman"/>
          <w14:ligatures w14:val="none"/>
        </w:rPr>
        <w:t xml:space="preserve"> and many other cases, that in an action like the present the plaintiff, in order to succeed, must show incompetency by specific acts of the servant, and that the master knew, or ought to have known, of such incompetency”]; </w:t>
      </w:r>
      <w:r w:rsidR="00624C81" w:rsidRPr="00EB5B72">
        <w:rPr>
          <w:rFonts w:eastAsia="Times New Roman"/>
          <w:i/>
          <w:iCs/>
          <w:bdr w:val="none" w:sz="0" w:space="0" w:color="auto" w:frame="1"/>
          <w14:ligatures w14:val="none"/>
        </w:rPr>
        <w:t>Kenneth R. v R</w:t>
      </w:r>
      <w:r w:rsidR="00F211A8" w:rsidRPr="00EB5B72">
        <w:rPr>
          <w:rFonts w:eastAsia="Times New Roman"/>
          <w:i/>
          <w:iCs/>
          <w:bdr w:val="none" w:sz="0" w:space="0" w:color="auto" w:frame="1"/>
          <w14:ligatures w14:val="none"/>
        </w:rPr>
        <w:t xml:space="preserve">oman </w:t>
      </w:r>
      <w:r w:rsidR="00624C81" w:rsidRPr="00EB5B72">
        <w:rPr>
          <w:rFonts w:eastAsia="Times New Roman"/>
          <w:i/>
          <w:iCs/>
          <w:bdr w:val="none" w:sz="0" w:space="0" w:color="auto" w:frame="1"/>
          <w14:ligatures w14:val="none"/>
        </w:rPr>
        <w:t>C</w:t>
      </w:r>
      <w:r w:rsidR="00F211A8" w:rsidRPr="00EB5B72">
        <w:rPr>
          <w:rFonts w:eastAsia="Times New Roman"/>
          <w:i/>
          <w:iCs/>
          <w:bdr w:val="none" w:sz="0" w:space="0" w:color="auto" w:frame="1"/>
          <w14:ligatures w14:val="none"/>
        </w:rPr>
        <w:t>atholic</w:t>
      </w:r>
      <w:r w:rsidR="00624C81" w:rsidRPr="00EB5B72">
        <w:rPr>
          <w:rFonts w:eastAsia="Times New Roman"/>
          <w:i/>
          <w:iCs/>
          <w:bdr w:val="none" w:sz="0" w:space="0" w:color="auto" w:frame="1"/>
          <w14:ligatures w14:val="none"/>
        </w:rPr>
        <w:t xml:space="preserve"> Diocese of Brooklyn</w:t>
      </w:r>
      <w:r w:rsidR="00624C81" w:rsidRPr="00EB5B72">
        <w:rPr>
          <w:rFonts w:eastAsia="Times New Roman"/>
          <w14:ligatures w14:val="none"/>
        </w:rPr>
        <w:t>, 229 AD2d 159, 161 [2d Dept 1997]</w:t>
      </w:r>
      <w:r w:rsidR="000A3224" w:rsidRPr="00EB5B72">
        <w:rPr>
          <w:rFonts w:eastAsia="Times New Roman"/>
          <w14:ligatures w14:val="none"/>
        </w:rPr>
        <w:t xml:space="preserve"> [“</w:t>
      </w:r>
      <w:r w:rsidR="00624C81" w:rsidRPr="00EB5B72">
        <w:rPr>
          <w:rFonts w:eastAsia="Times New Roman"/>
          <w14:ligatures w14:val="none"/>
        </w:rPr>
        <w:t>In instances where an employer cannot be held vicariously liable for its employee</w:t>
      </w:r>
      <w:r w:rsidR="00DD198C" w:rsidRPr="00EB5B72">
        <w:rPr>
          <w:rFonts w:eastAsia="Times New Roman"/>
          <w14:ligatures w14:val="none"/>
        </w:rPr>
        <w:t>’</w:t>
      </w:r>
      <w:r w:rsidR="00624C81" w:rsidRPr="00EB5B72">
        <w:rPr>
          <w:rFonts w:eastAsia="Times New Roman"/>
          <w14:ligatures w14:val="none"/>
        </w:rPr>
        <w:t>s torts, the employer can still be held liable under theories of negligent hiring, negligent retention, and negligent supervision</w:t>
      </w:r>
      <w:r w:rsidR="00F211A8" w:rsidRPr="00EB5B72">
        <w:rPr>
          <w:rFonts w:eastAsia="Times New Roman"/>
          <w14:ligatures w14:val="none"/>
        </w:rPr>
        <w:t xml:space="preserve"> </w:t>
      </w:r>
      <w:r w:rsidR="00624C81" w:rsidRPr="00EB5B72">
        <w:rPr>
          <w:rFonts w:eastAsia="Times New Roman"/>
          <w14:ligatures w14:val="none"/>
        </w:rPr>
        <w:t>. . .</w:t>
      </w:r>
      <w:r w:rsidR="00F211A8" w:rsidRPr="00EB5B72">
        <w:rPr>
          <w:rFonts w:eastAsia="Times New Roman"/>
          <w14:ligatures w14:val="none"/>
        </w:rPr>
        <w:t xml:space="preserve"> </w:t>
      </w:r>
      <w:r w:rsidR="00624C81" w:rsidRPr="00EB5B72">
        <w:rPr>
          <w:rFonts w:eastAsia="Times New Roman"/>
          <w14:ligatures w14:val="none"/>
        </w:rPr>
        <w:t>. However, a necessary element of such causes of action is that the employer knew or should have known of the employee</w:t>
      </w:r>
      <w:r w:rsidR="00DD198C" w:rsidRPr="00EB5B72">
        <w:rPr>
          <w:rFonts w:eastAsia="Times New Roman"/>
          <w14:ligatures w14:val="none"/>
        </w:rPr>
        <w:t>’</w:t>
      </w:r>
      <w:r w:rsidR="00624C81" w:rsidRPr="00EB5B72">
        <w:rPr>
          <w:rFonts w:eastAsia="Times New Roman"/>
          <w14:ligatures w14:val="none"/>
        </w:rPr>
        <w:t>s propensity for the conduct which caused the injury (</w:t>
      </w:r>
      <w:r w:rsidR="00624C81" w:rsidRPr="00EB5B72">
        <w:rPr>
          <w:rFonts w:eastAsia="Times New Roman"/>
          <w:i/>
          <w:iCs/>
          <w14:ligatures w14:val="none"/>
        </w:rPr>
        <w:t>see, e.g.,</w:t>
      </w:r>
      <w:r w:rsidR="00624C81" w:rsidRPr="00EB5B72">
        <w:rPr>
          <w:rFonts w:eastAsia="Times New Roman"/>
          <w:i/>
          <w:iCs/>
          <w:bdr w:val="none" w:sz="0" w:space="0" w:color="auto" w:frame="1"/>
          <w14:ligatures w14:val="none"/>
        </w:rPr>
        <w:t xml:space="preserve"> </w:t>
      </w:r>
      <w:r w:rsidR="00624C81" w:rsidRPr="00EB5B72">
        <w:rPr>
          <w:rFonts w:eastAsia="Times New Roman"/>
          <w:i/>
          <w:iCs/>
          <w:bdr w:val="none" w:sz="0" w:space="0" w:color="auto" w:frame="1"/>
          <w:shd w:val="clear" w:color="auto" w:fill="FFFFFF"/>
          <w14:ligatures w14:val="none"/>
        </w:rPr>
        <w:t>Park v N</w:t>
      </w:r>
      <w:r w:rsidR="00F211A8" w:rsidRPr="00EB5B72">
        <w:rPr>
          <w:rFonts w:eastAsia="Times New Roman"/>
          <w:i/>
          <w:iCs/>
          <w:bdr w:val="none" w:sz="0" w:space="0" w:color="auto" w:frame="1"/>
          <w:shd w:val="clear" w:color="auto" w:fill="FFFFFF"/>
          <w14:ligatures w14:val="none"/>
        </w:rPr>
        <w:t xml:space="preserve">ew </w:t>
      </w:r>
      <w:r w:rsidR="00624C81" w:rsidRPr="00EB5B72">
        <w:rPr>
          <w:rFonts w:eastAsia="Times New Roman"/>
          <w:i/>
          <w:iCs/>
          <w:bdr w:val="none" w:sz="0" w:space="0" w:color="auto" w:frame="1"/>
          <w:shd w:val="clear" w:color="auto" w:fill="FFFFFF"/>
          <w14:ligatures w14:val="none"/>
        </w:rPr>
        <w:t>Y</w:t>
      </w:r>
      <w:r w:rsidR="00F211A8" w:rsidRPr="00EB5B72">
        <w:rPr>
          <w:rFonts w:eastAsia="Times New Roman"/>
          <w:i/>
          <w:iCs/>
          <w:bdr w:val="none" w:sz="0" w:space="0" w:color="auto" w:frame="1"/>
          <w:shd w:val="clear" w:color="auto" w:fill="FFFFFF"/>
          <w14:ligatures w14:val="none"/>
        </w:rPr>
        <w:t xml:space="preserve">ork </w:t>
      </w:r>
      <w:r w:rsidR="00624C81" w:rsidRPr="00EB5B72">
        <w:rPr>
          <w:rFonts w:eastAsia="Times New Roman"/>
          <w:i/>
          <w:iCs/>
          <w:bdr w:val="none" w:sz="0" w:space="0" w:color="auto" w:frame="1"/>
          <w:shd w:val="clear" w:color="auto" w:fill="FFFFFF"/>
          <w14:ligatures w14:val="none"/>
        </w:rPr>
        <w:t>C</w:t>
      </w:r>
      <w:r w:rsidR="00F211A8" w:rsidRPr="00EB5B72">
        <w:rPr>
          <w:rFonts w:eastAsia="Times New Roman"/>
          <w:i/>
          <w:iCs/>
          <w:bdr w:val="none" w:sz="0" w:space="0" w:color="auto" w:frame="1"/>
          <w:shd w:val="clear" w:color="auto" w:fill="FFFFFF"/>
          <w14:ligatures w14:val="none"/>
        </w:rPr>
        <w:t>ent.</w:t>
      </w:r>
      <w:r w:rsidR="00624C81" w:rsidRPr="00EB5B72">
        <w:rPr>
          <w:rFonts w:eastAsia="Times New Roman"/>
          <w:i/>
          <w:iCs/>
          <w:bdr w:val="none" w:sz="0" w:space="0" w:color="auto" w:frame="1"/>
          <w:shd w:val="clear" w:color="auto" w:fill="FFFFFF"/>
          <w14:ligatures w14:val="none"/>
        </w:rPr>
        <w:t xml:space="preserve"> &amp; H</w:t>
      </w:r>
      <w:r w:rsidR="00F211A8" w:rsidRPr="00EB5B72">
        <w:rPr>
          <w:rFonts w:eastAsia="Times New Roman"/>
          <w:i/>
          <w:iCs/>
          <w:bdr w:val="none" w:sz="0" w:space="0" w:color="auto" w:frame="1"/>
          <w:shd w:val="clear" w:color="auto" w:fill="FFFFFF"/>
          <w14:ligatures w14:val="none"/>
        </w:rPr>
        <w:t xml:space="preserve">udson </w:t>
      </w:r>
      <w:r w:rsidR="00624C81" w:rsidRPr="00EB5B72">
        <w:rPr>
          <w:rFonts w:eastAsia="Times New Roman"/>
          <w:i/>
          <w:iCs/>
          <w:bdr w:val="none" w:sz="0" w:space="0" w:color="auto" w:frame="1"/>
          <w:shd w:val="clear" w:color="auto" w:fill="FFFFFF"/>
          <w14:ligatures w14:val="none"/>
        </w:rPr>
        <w:t>R</w:t>
      </w:r>
      <w:r w:rsidR="00F211A8" w:rsidRPr="00EB5B72">
        <w:rPr>
          <w:rFonts w:eastAsia="Times New Roman"/>
          <w:i/>
          <w:iCs/>
          <w:bdr w:val="none" w:sz="0" w:space="0" w:color="auto" w:frame="1"/>
          <w:shd w:val="clear" w:color="auto" w:fill="FFFFFF"/>
          <w14:ligatures w14:val="none"/>
        </w:rPr>
        <w:t xml:space="preserve">iv. R. </w:t>
      </w:r>
      <w:r w:rsidR="00624C81" w:rsidRPr="00EB5B72">
        <w:rPr>
          <w:rFonts w:eastAsia="Times New Roman"/>
          <w:i/>
          <w:iCs/>
          <w:bdr w:val="none" w:sz="0" w:space="0" w:color="auto" w:frame="1"/>
          <w:shd w:val="clear" w:color="auto" w:fill="FFFFFF"/>
          <w14:ligatures w14:val="none"/>
        </w:rPr>
        <w:t>R. Co.,</w:t>
      </w:r>
      <w:r w:rsidR="00624C81" w:rsidRPr="00EB5B72">
        <w:rPr>
          <w:rFonts w:eastAsia="Times New Roman"/>
          <w:bdr w:val="none" w:sz="0" w:space="0" w:color="auto" w:frame="1"/>
          <w:shd w:val="clear" w:color="auto" w:fill="FFFFFF"/>
          <w14:ligatures w14:val="none"/>
        </w:rPr>
        <w:t xml:space="preserve"> 155 NY 215</w:t>
      </w:r>
      <w:r w:rsidR="00F211A8" w:rsidRPr="00EB5B72">
        <w:rPr>
          <w:rFonts w:eastAsia="Times New Roman"/>
          <w:bdr w:val="none" w:sz="0" w:space="0" w:color="auto" w:frame="1"/>
          <w:shd w:val="clear" w:color="auto" w:fill="FFFFFF"/>
          <w14:ligatures w14:val="none"/>
        </w:rPr>
        <w:t xml:space="preserve"> . . .</w:t>
      </w:r>
      <w:r w:rsidR="00522C54" w:rsidRPr="00EB5B72">
        <w:rPr>
          <w:rFonts w:eastAsia="Times New Roman"/>
          <w:bdr w:val="none" w:sz="0" w:space="0" w:color="auto" w:frame="1"/>
          <w:shd w:val="clear" w:color="auto" w:fill="FFFFFF"/>
          <w14:ligatures w14:val="none"/>
        </w:rPr>
        <w:t xml:space="preserve"> </w:t>
      </w:r>
      <w:r w:rsidR="000A3224" w:rsidRPr="00EB5B72">
        <w:rPr>
          <w:rFonts w:eastAsia="Times New Roman"/>
          <w:bdr w:val="none" w:sz="0" w:space="0" w:color="auto" w:frame="1"/>
          <w:shd w:val="clear" w:color="auto" w:fill="FFFFFF"/>
          <w14:ligatures w14:val="none"/>
        </w:rPr>
        <w:t>)”</w:t>
      </w:r>
      <w:bookmarkEnd w:id="1"/>
      <w:r w:rsidR="00526B7A" w:rsidRPr="00EB5B72">
        <w:rPr>
          <w:rFonts w:eastAsia="Times New Roman"/>
          <w:bdr w:val="none" w:sz="0" w:space="0" w:color="auto" w:frame="1"/>
          <w:shd w:val="clear" w:color="auto" w:fill="FFFFFF"/>
          <w14:ligatures w14:val="none"/>
        </w:rPr>
        <w:t>]</w:t>
      </w:r>
      <w:r w:rsidR="00F211A8" w:rsidRPr="00EB5B72">
        <w:rPr>
          <w:rFonts w:eastAsia="Times New Roman"/>
          <w:bdr w:val="none" w:sz="0" w:space="0" w:color="auto" w:frame="1"/>
          <w:shd w:val="clear" w:color="auto" w:fill="FFFFFF"/>
          <w14:ligatures w14:val="none"/>
        </w:rPr>
        <w:t>.</w:t>
      </w:r>
      <w:r w:rsidR="007942CA" w:rsidRPr="00EB5B72">
        <w:rPr>
          <w:rFonts w:eastAsia="Times New Roman"/>
          <w:bdr w:val="none" w:sz="0" w:space="0" w:color="auto" w:frame="1"/>
          <w:shd w:val="clear" w:color="auto" w:fill="FFFFFF"/>
          <w14:ligatures w14:val="none"/>
        </w:rPr>
        <w:t>)</w:t>
      </w:r>
    </w:p>
    <w:p w14:paraId="20D57B6D" w14:textId="77777777" w:rsidR="00BC013B" w:rsidRPr="00EB5B72" w:rsidRDefault="00BC013B" w:rsidP="008703D5">
      <w:pPr>
        <w:shd w:val="clear" w:color="auto" w:fill="FFFFFF"/>
        <w:spacing w:before="0"/>
        <w:jc w:val="both"/>
        <w:rPr>
          <w:rFonts w:eastAsia="Times New Roman"/>
          <w:bdr w:val="none" w:sz="0" w:space="0" w:color="auto" w:frame="1"/>
          <w:shd w:val="clear" w:color="auto" w:fill="FFFFFF"/>
          <w14:ligatures w14:val="none"/>
        </w:rPr>
      </w:pPr>
    </w:p>
    <w:p w14:paraId="0AAF202F" w14:textId="611E91AB" w:rsidR="00F17047" w:rsidRPr="00EB5B72" w:rsidRDefault="00F17047" w:rsidP="008703D5">
      <w:pPr>
        <w:shd w:val="clear" w:color="auto" w:fill="FFFFFF"/>
        <w:spacing w:before="0"/>
        <w:jc w:val="both"/>
      </w:pPr>
      <w:r w:rsidRPr="00EB5B72">
        <w:rPr>
          <w:b/>
          <w:bCs/>
        </w:rPr>
        <w:tab/>
        <w:t>Subdivision (6)</w:t>
      </w:r>
      <w:r w:rsidRPr="00EB5B72">
        <w:t xml:space="preserve"> </w:t>
      </w:r>
      <w:r w:rsidRPr="00EB5B72">
        <w:rPr>
          <w:b/>
          <w:bCs/>
        </w:rPr>
        <w:t>(a)</w:t>
      </w:r>
      <w:r w:rsidRPr="00EB5B72">
        <w:t xml:space="preserve"> states the general rule that a witness in a civil or criminal proceeding is subject to impeachment.</w:t>
      </w:r>
      <w:r w:rsidR="00F211A8" w:rsidRPr="00EB5B72">
        <w:t xml:space="preserve"> (</w:t>
      </w:r>
      <w:r w:rsidRPr="00EB5B72">
        <w:rPr>
          <w:i/>
          <w:iCs/>
        </w:rPr>
        <w:t>See generally</w:t>
      </w:r>
      <w:r w:rsidRPr="00EB5B72">
        <w:t xml:space="preserve"> Guide to NY Evid art 6, Witnesses &amp; Impeachment.</w:t>
      </w:r>
      <w:r w:rsidR="00F211A8" w:rsidRPr="00EB5B72">
        <w:t>)</w:t>
      </w:r>
    </w:p>
    <w:p w14:paraId="7B7250FC" w14:textId="77777777" w:rsidR="00F17047" w:rsidRPr="00EB5B72" w:rsidRDefault="00F17047" w:rsidP="008703D5">
      <w:pPr>
        <w:spacing w:before="0"/>
        <w:jc w:val="both"/>
      </w:pPr>
    </w:p>
    <w:p w14:paraId="6B99D04D" w14:textId="769F29EA" w:rsidR="00F17047" w:rsidRPr="00EB5B72" w:rsidRDefault="00706DCB" w:rsidP="00706DCB">
      <w:pPr>
        <w:tabs>
          <w:tab w:val="left" w:pos="720"/>
        </w:tabs>
        <w:spacing w:before="0"/>
        <w:jc w:val="both"/>
      </w:pPr>
      <w:r w:rsidRPr="00EB5B72">
        <w:rPr>
          <w:b/>
          <w:bCs/>
        </w:rPr>
        <w:tab/>
      </w:r>
      <w:r w:rsidR="00F17047" w:rsidRPr="00EB5B72">
        <w:rPr>
          <w:b/>
          <w:bCs/>
        </w:rPr>
        <w:t>Subdivision (6) (b)</w:t>
      </w:r>
      <w:r w:rsidR="00F17047" w:rsidRPr="00EB5B72">
        <w:t xml:space="preserve"> is derived from Court of Appeals precedent which holds that the witness providing reputation testimony may be asked on cross-examination whether the witness has heard about particular events that are derogatory to the reputation testified to by the witness (</w:t>
      </w:r>
      <w:r w:rsidR="00F17047" w:rsidRPr="00EB5B72">
        <w:rPr>
          <w:i/>
          <w:iCs/>
        </w:rPr>
        <w:t>People v Kuss</w:t>
      </w:r>
      <w:r w:rsidR="00F17047" w:rsidRPr="00EB5B72">
        <w:t xml:space="preserve">, 32 NY2d 436, 443 [1973] [“(I)t is well established that they may be asked as to the existence of rumors or reports of particular acts allegedly committed by the defendant which are inconsistent with the reputation they have attributed to him”]). Specifically, the witness may only be asked whether the witness heard of the event and not whether </w:t>
      </w:r>
      <w:r w:rsidR="00F17047" w:rsidRPr="00EB5B72">
        <w:lastRenderedPageBreak/>
        <w:t>the witness has personal knowledge of such an event. (</w:t>
      </w:r>
      <w:r w:rsidR="00F17047" w:rsidRPr="00EB5B72">
        <w:rPr>
          <w:i/>
          <w:iCs/>
        </w:rPr>
        <w:t>People v Kennedy</w:t>
      </w:r>
      <w:r w:rsidR="00F17047" w:rsidRPr="00EB5B72">
        <w:t xml:space="preserve">, 47 NY2d 196, 206 [1979] [“Assuming, </w:t>
      </w:r>
      <w:r w:rsidR="00F17047" w:rsidRPr="00EB5B72">
        <w:rPr>
          <w:i/>
          <w:iCs/>
        </w:rPr>
        <w:t>arguendo,</w:t>
      </w:r>
      <w:r w:rsidR="00F17047" w:rsidRPr="00EB5B72">
        <w:t xml:space="preserve"> that Mrs. Kennedy did indeed serve as a character witness, any impeachment cross-examination should have been limited to her knowledge of defendant’s reputation, and should not have extended to her personal knowledge of the underlying acts”].) In </w:t>
      </w:r>
      <w:r w:rsidR="00F17047" w:rsidRPr="00EB5B72">
        <w:rPr>
          <w:i/>
          <w:iCs/>
        </w:rPr>
        <w:t>Kuss</w:t>
      </w:r>
      <w:r w:rsidR="00F17047" w:rsidRPr="00EB5B72">
        <w:t>, the Court emphasized that there are certain limitations, namely, “[t]he inquiry cannot be used to prove the truth of the rumors, but only to show the ability of the witness to accurately reflect the defendant’s reputation in the community. And the prosecutor must act in good faith; there must be some basis for his questions” (</w:t>
      </w:r>
      <w:r w:rsidR="00F17047" w:rsidRPr="00EB5B72">
        <w:rPr>
          <w:i/>
          <w:iCs/>
        </w:rPr>
        <w:t>Kuss</w:t>
      </w:r>
      <w:r w:rsidR="00F17047" w:rsidRPr="00EB5B72">
        <w:t>, 32 NY2d at 443).</w:t>
      </w:r>
    </w:p>
    <w:p w14:paraId="06D90473" w14:textId="77777777" w:rsidR="00F17047" w:rsidRPr="00EB5B72" w:rsidRDefault="00F17047" w:rsidP="008703D5">
      <w:pPr>
        <w:spacing w:before="0"/>
        <w:jc w:val="both"/>
      </w:pPr>
    </w:p>
    <w:p w14:paraId="74B0CA8A" w14:textId="3562EB67" w:rsidR="00AD48FC" w:rsidRPr="00EB5B72" w:rsidRDefault="00F17047" w:rsidP="008703D5">
      <w:pPr>
        <w:spacing w:before="0"/>
        <w:jc w:val="both"/>
      </w:pPr>
      <w:r w:rsidRPr="00EB5B72">
        <w:tab/>
        <w:t>And, if the witness is solely a character witness, he or she may not be questioned about the crimes or underlying conduct of the crimes of which the defendant is accused (</w:t>
      </w:r>
      <w:r w:rsidRPr="00EB5B72">
        <w:rPr>
          <w:i/>
          <w:iCs/>
        </w:rPr>
        <w:t>People v Lopez</w:t>
      </w:r>
      <w:r w:rsidRPr="00EB5B72">
        <w:t xml:space="preserve">, 67 AD2d 624, 624 [1st Dept 1979] [“The </w:t>
      </w:r>
      <w:r w:rsidR="001002C7" w:rsidRPr="00EB5B72">
        <w:t>D</w:t>
      </w:r>
      <w:r w:rsidRPr="00EB5B72">
        <w:t xml:space="preserve">istrict </w:t>
      </w:r>
      <w:r w:rsidR="001002C7" w:rsidRPr="00EB5B72">
        <w:t>A</w:t>
      </w:r>
      <w:r w:rsidRPr="00EB5B72">
        <w:t xml:space="preserve">ttorney also should not have asked defendant’s character witness whether he would change his opinion of defendant’s character if he heard that defendant had committed a cold-blooded murder, obviously referring to the case on trial. The question improperly assumed that the defendant was guilty of the crime with which he was charged, the very issue toward the determination of which the character evidence was offered”]; </w:t>
      </w:r>
      <w:r w:rsidRPr="00EB5B72">
        <w:rPr>
          <w:i/>
          <w:iCs/>
        </w:rPr>
        <w:t>People v Lowery</w:t>
      </w:r>
      <w:r w:rsidRPr="00EB5B72">
        <w:t>, 214 AD2d 684, 685 [2d Dept 1995] [“We agree with the defendant that the prosecutor’s cross-examination of a defense character witness exceeded the bounds of propriety insofar as the prosecutor utilized hypothetical questions which assumed the defendant’s guilt of the crimes for which he was on trial”]</w:t>
      </w:r>
      <w:r w:rsidR="00F211A8" w:rsidRPr="00EB5B72">
        <w:t xml:space="preserve">, </w:t>
      </w:r>
      <w:r w:rsidR="00F211A8" w:rsidRPr="00EB5B72">
        <w:rPr>
          <w:i/>
          <w:iCs/>
        </w:rPr>
        <w:t>mod on other grounds</w:t>
      </w:r>
      <w:r w:rsidR="00F211A8" w:rsidRPr="00EB5B72">
        <w:t xml:space="preserve"> 88 NY2d 172 [1996]</w:t>
      </w:r>
      <w:r w:rsidRPr="00EB5B72">
        <w:t xml:space="preserve">; </w:t>
      </w:r>
      <w:r w:rsidRPr="00EB5B72">
        <w:rPr>
          <w:i/>
          <w:iCs/>
        </w:rPr>
        <w:t>People v Gandy</w:t>
      </w:r>
      <w:r w:rsidRPr="00EB5B72">
        <w:t>, 152 AD2d 909, 909 [4th Dept 1989] [“The court erred in permitting the People to cross-examine defendant’s character witnesses concerning whether their opinions of defendant’s reputation would change if they knew that defendant had committed the crimes at issue”]).</w:t>
      </w:r>
    </w:p>
    <w:p w14:paraId="3E209FD8" w14:textId="77777777" w:rsidR="008703D5" w:rsidRPr="00EB5B72" w:rsidRDefault="008703D5" w:rsidP="008703D5">
      <w:pPr>
        <w:spacing w:before="0"/>
        <w:jc w:val="both"/>
      </w:pPr>
    </w:p>
    <w:sectPr w:rsidR="008703D5" w:rsidRPr="00EB5B72" w:rsidSect="008703D5">
      <w:footerReference w:type="default" r:id="rId8"/>
      <w:endnotePr>
        <w:numFmt w:val="decimal"/>
      </w:endnotePr>
      <w:type w:val="continuous"/>
      <w:pgSz w:w="12240" w:h="15840"/>
      <w:pgMar w:top="1440" w:right="2160" w:bottom="1440" w:left="2160" w:header="1440" w:footer="1440" w:gutter="0"/>
      <w:cols w:space="720"/>
      <w:noEndnote/>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C67F4D0" w14:textId="77777777" w:rsidR="00932816" w:rsidRDefault="00932816" w:rsidP="000B4644">
      <w:pPr>
        <w:spacing w:before="0"/>
      </w:pPr>
      <w:r>
        <w:separator/>
      </w:r>
    </w:p>
  </w:endnote>
  <w:endnote w:type="continuationSeparator" w:id="0">
    <w:p w14:paraId="047F17F5" w14:textId="77777777" w:rsidR="00932816" w:rsidRDefault="00932816" w:rsidP="000B4644">
      <w:pPr>
        <w:spacing w:before="0"/>
      </w:pPr>
      <w:r>
        <w:continuationSeparator/>
      </w:r>
    </w:p>
  </w:endnote>
  <w:endnote w:id="1">
    <w:p w14:paraId="436001B1" w14:textId="53238049" w:rsidR="003D097B" w:rsidRDefault="003D097B" w:rsidP="002E3E1F">
      <w:pPr>
        <w:pStyle w:val="EndnoteText"/>
        <w:jc w:val="both"/>
      </w:pPr>
      <w:r>
        <w:rPr>
          <w:rStyle w:val="EndnoteReference"/>
        </w:rPr>
        <w:endnoteRef/>
      </w:r>
      <w:r>
        <w:t xml:space="preserve"> </w:t>
      </w:r>
      <w:r w:rsidR="00C80FC7" w:rsidRPr="00EB5B72">
        <w:rPr>
          <w:sz w:val="22"/>
          <w:szCs w:val="22"/>
        </w:rPr>
        <w:t xml:space="preserve">In March, 2025, this rule was </w:t>
      </w:r>
      <w:r w:rsidR="002E3E1F" w:rsidRPr="00EB5B72">
        <w:rPr>
          <w:sz w:val="22"/>
          <w:szCs w:val="22"/>
        </w:rPr>
        <w:t xml:space="preserve">added, combining </w:t>
      </w:r>
      <w:r w:rsidR="00AB72A2" w:rsidRPr="00EB5B72">
        <w:rPr>
          <w:sz w:val="22"/>
          <w:szCs w:val="22"/>
        </w:rPr>
        <w:t>r</w:t>
      </w:r>
      <w:r w:rsidR="008E3167" w:rsidRPr="00EB5B72">
        <w:rPr>
          <w:sz w:val="22"/>
          <w:szCs w:val="22"/>
        </w:rPr>
        <w:t>ule 4.07.1</w:t>
      </w:r>
      <w:r w:rsidR="00257900" w:rsidRPr="00EB5B72">
        <w:rPr>
          <w:sz w:val="22"/>
          <w:szCs w:val="22"/>
        </w:rPr>
        <w:t xml:space="preserve"> (Character Evidence) and rule 8.39 (Reputation Evidence)</w:t>
      </w:r>
      <w:r w:rsidR="002E3E1F" w:rsidRPr="00EB5B72">
        <w:rPr>
          <w:sz w:val="22"/>
          <w:szCs w:val="22"/>
        </w:rPr>
        <w:t>.</w:t>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756642201"/>
      <w:docPartObj>
        <w:docPartGallery w:val="Page Numbers (Bottom of Page)"/>
        <w:docPartUnique/>
      </w:docPartObj>
    </w:sdtPr>
    <w:sdtEndPr>
      <w:rPr>
        <w:noProof/>
      </w:rPr>
    </w:sdtEndPr>
    <w:sdtContent>
      <w:p w14:paraId="447F289C" w14:textId="2D3CF4ED" w:rsidR="008703D5" w:rsidRDefault="008703D5">
        <w:pPr>
          <w:pStyle w:val="Footer"/>
          <w:jc w:val="center"/>
        </w:pPr>
        <w:r>
          <w:fldChar w:fldCharType="begin"/>
        </w:r>
        <w:r>
          <w:instrText xml:space="preserve"> PAGE   \* MERGEFORMAT </w:instrText>
        </w:r>
        <w:r>
          <w:fldChar w:fldCharType="separate"/>
        </w:r>
        <w:r>
          <w:rPr>
            <w:noProof/>
          </w:rPr>
          <w:t>2</w:t>
        </w:r>
        <w:r>
          <w:rPr>
            <w:noProof/>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9E9CFBE" w14:textId="77777777" w:rsidR="00932816" w:rsidRDefault="00932816" w:rsidP="000B4644">
      <w:pPr>
        <w:spacing w:before="0"/>
      </w:pPr>
      <w:r>
        <w:separator/>
      </w:r>
    </w:p>
  </w:footnote>
  <w:footnote w:type="continuationSeparator" w:id="0">
    <w:p w14:paraId="7DA75BCC" w14:textId="77777777" w:rsidR="00932816" w:rsidRDefault="00932816" w:rsidP="000B4644">
      <w:pPr>
        <w:spacing w:before="0"/>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38181D59"/>
    <w:multiLevelType w:val="hybridMultilevel"/>
    <w:tmpl w:val="3B1605EE"/>
    <w:lvl w:ilvl="0" w:tplc="E27AF4B2">
      <w:start w:val="1"/>
      <w:numFmt w:val="lowerLetter"/>
      <w:lvlText w:val="(%1)"/>
      <w:lvlJc w:val="left"/>
      <w:pPr>
        <w:ind w:left="1800" w:hanging="360"/>
      </w:pPr>
      <w:rPr>
        <w:color w:val="auto"/>
      </w:rPr>
    </w:lvl>
    <w:lvl w:ilvl="1" w:tplc="04090019">
      <w:start w:val="1"/>
      <w:numFmt w:val="lowerLetter"/>
      <w:lvlText w:val="%2."/>
      <w:lvlJc w:val="left"/>
      <w:pPr>
        <w:ind w:left="2520" w:hanging="360"/>
      </w:pPr>
    </w:lvl>
    <w:lvl w:ilvl="2" w:tplc="0409001B">
      <w:start w:val="1"/>
      <w:numFmt w:val="lowerRoman"/>
      <w:lvlText w:val="%3."/>
      <w:lvlJc w:val="right"/>
      <w:pPr>
        <w:ind w:left="3240" w:hanging="180"/>
      </w:pPr>
    </w:lvl>
    <w:lvl w:ilvl="3" w:tplc="0409000F">
      <w:start w:val="1"/>
      <w:numFmt w:val="decimal"/>
      <w:lvlText w:val="%4."/>
      <w:lvlJc w:val="left"/>
      <w:pPr>
        <w:ind w:left="3960" w:hanging="360"/>
      </w:pPr>
    </w:lvl>
    <w:lvl w:ilvl="4" w:tplc="04090019">
      <w:start w:val="1"/>
      <w:numFmt w:val="lowerLetter"/>
      <w:lvlText w:val="%5."/>
      <w:lvlJc w:val="left"/>
      <w:pPr>
        <w:ind w:left="4680" w:hanging="360"/>
      </w:pPr>
    </w:lvl>
    <w:lvl w:ilvl="5" w:tplc="0409001B">
      <w:start w:val="1"/>
      <w:numFmt w:val="lowerRoman"/>
      <w:lvlText w:val="%6."/>
      <w:lvlJc w:val="right"/>
      <w:pPr>
        <w:ind w:left="5400" w:hanging="180"/>
      </w:pPr>
    </w:lvl>
    <w:lvl w:ilvl="6" w:tplc="0409000F">
      <w:start w:val="1"/>
      <w:numFmt w:val="decimal"/>
      <w:lvlText w:val="%7."/>
      <w:lvlJc w:val="left"/>
      <w:pPr>
        <w:ind w:left="6120" w:hanging="360"/>
      </w:pPr>
    </w:lvl>
    <w:lvl w:ilvl="7" w:tplc="04090019">
      <w:start w:val="1"/>
      <w:numFmt w:val="lowerLetter"/>
      <w:lvlText w:val="%8."/>
      <w:lvlJc w:val="left"/>
      <w:pPr>
        <w:ind w:left="6840" w:hanging="360"/>
      </w:pPr>
    </w:lvl>
    <w:lvl w:ilvl="8" w:tplc="0409001B">
      <w:start w:val="1"/>
      <w:numFmt w:val="lowerRoman"/>
      <w:lvlText w:val="%9."/>
      <w:lvlJc w:val="right"/>
      <w:pPr>
        <w:ind w:left="7560" w:hanging="180"/>
      </w:pPr>
    </w:lvl>
  </w:abstractNum>
  <w:abstractNum w:abstractNumId="1" w15:restartNumberingAfterBreak="0">
    <w:nsid w:val="387516C7"/>
    <w:multiLevelType w:val="hybridMultilevel"/>
    <w:tmpl w:val="0ED0C30E"/>
    <w:lvl w:ilvl="0" w:tplc="1F2067A8">
      <w:start w:val="1"/>
      <w:numFmt w:val="lowerLetter"/>
      <w:lvlText w:val="(%1)"/>
      <w:lvlJc w:val="left"/>
      <w:pPr>
        <w:ind w:left="6276" w:hanging="516"/>
      </w:pPr>
      <w:rPr>
        <w:rFonts w:ascii="Times New Roman" w:hAnsi="Times New Roman" w:cs="Times New Roman" w:hint="default"/>
      </w:rPr>
    </w:lvl>
    <w:lvl w:ilvl="1" w:tplc="04090019">
      <w:start w:val="1"/>
      <w:numFmt w:val="lowerLetter"/>
      <w:lvlText w:val="%2."/>
      <w:lvlJc w:val="left"/>
      <w:pPr>
        <w:ind w:left="2520" w:hanging="360"/>
      </w:pPr>
    </w:lvl>
    <w:lvl w:ilvl="2" w:tplc="0409001B">
      <w:start w:val="1"/>
      <w:numFmt w:val="lowerRoman"/>
      <w:lvlText w:val="%3."/>
      <w:lvlJc w:val="right"/>
      <w:pPr>
        <w:ind w:left="3240" w:hanging="180"/>
      </w:pPr>
    </w:lvl>
    <w:lvl w:ilvl="3" w:tplc="0409000F">
      <w:start w:val="1"/>
      <w:numFmt w:val="decimal"/>
      <w:lvlText w:val="%4."/>
      <w:lvlJc w:val="left"/>
      <w:pPr>
        <w:ind w:left="3960" w:hanging="360"/>
      </w:pPr>
    </w:lvl>
    <w:lvl w:ilvl="4" w:tplc="04090019">
      <w:start w:val="1"/>
      <w:numFmt w:val="lowerLetter"/>
      <w:lvlText w:val="%5."/>
      <w:lvlJc w:val="left"/>
      <w:pPr>
        <w:ind w:left="4680" w:hanging="360"/>
      </w:pPr>
    </w:lvl>
    <w:lvl w:ilvl="5" w:tplc="0409001B">
      <w:start w:val="1"/>
      <w:numFmt w:val="lowerRoman"/>
      <w:lvlText w:val="%6."/>
      <w:lvlJc w:val="right"/>
      <w:pPr>
        <w:ind w:left="5400" w:hanging="180"/>
      </w:pPr>
    </w:lvl>
    <w:lvl w:ilvl="6" w:tplc="0409000F">
      <w:start w:val="1"/>
      <w:numFmt w:val="decimal"/>
      <w:lvlText w:val="%7."/>
      <w:lvlJc w:val="left"/>
      <w:pPr>
        <w:ind w:left="6120" w:hanging="360"/>
      </w:pPr>
    </w:lvl>
    <w:lvl w:ilvl="7" w:tplc="04090019">
      <w:start w:val="1"/>
      <w:numFmt w:val="lowerLetter"/>
      <w:lvlText w:val="%8."/>
      <w:lvlJc w:val="left"/>
      <w:pPr>
        <w:ind w:left="6840" w:hanging="360"/>
      </w:pPr>
    </w:lvl>
    <w:lvl w:ilvl="8" w:tplc="0409001B">
      <w:start w:val="1"/>
      <w:numFmt w:val="lowerRoman"/>
      <w:lvlText w:val="%9."/>
      <w:lvlJc w:val="right"/>
      <w:pPr>
        <w:ind w:left="7560" w:hanging="180"/>
      </w:pPr>
    </w:lvl>
  </w:abstractNum>
  <w:abstractNum w:abstractNumId="2" w15:restartNumberingAfterBreak="0">
    <w:nsid w:val="3F654B77"/>
    <w:multiLevelType w:val="hybridMultilevel"/>
    <w:tmpl w:val="951AAEE6"/>
    <w:lvl w:ilvl="0" w:tplc="41060DBE">
      <w:start w:val="1"/>
      <w:numFmt w:val="lowerLetter"/>
      <w:lvlText w:val="(%1)"/>
      <w:lvlJc w:val="left"/>
      <w:pPr>
        <w:ind w:left="1800" w:hanging="360"/>
      </w:pPr>
    </w:lvl>
    <w:lvl w:ilvl="1" w:tplc="04090019">
      <w:start w:val="1"/>
      <w:numFmt w:val="lowerLetter"/>
      <w:lvlText w:val="%2."/>
      <w:lvlJc w:val="left"/>
      <w:pPr>
        <w:ind w:left="2520" w:hanging="360"/>
      </w:pPr>
    </w:lvl>
    <w:lvl w:ilvl="2" w:tplc="0409001B">
      <w:start w:val="1"/>
      <w:numFmt w:val="lowerRoman"/>
      <w:lvlText w:val="%3."/>
      <w:lvlJc w:val="right"/>
      <w:pPr>
        <w:ind w:left="3240" w:hanging="180"/>
      </w:pPr>
    </w:lvl>
    <w:lvl w:ilvl="3" w:tplc="0409000F">
      <w:start w:val="1"/>
      <w:numFmt w:val="decimal"/>
      <w:lvlText w:val="%4."/>
      <w:lvlJc w:val="left"/>
      <w:pPr>
        <w:ind w:left="3960" w:hanging="360"/>
      </w:pPr>
    </w:lvl>
    <w:lvl w:ilvl="4" w:tplc="04090019">
      <w:start w:val="1"/>
      <w:numFmt w:val="lowerLetter"/>
      <w:lvlText w:val="%5."/>
      <w:lvlJc w:val="left"/>
      <w:pPr>
        <w:ind w:left="4680" w:hanging="360"/>
      </w:pPr>
    </w:lvl>
    <w:lvl w:ilvl="5" w:tplc="0409001B">
      <w:start w:val="1"/>
      <w:numFmt w:val="lowerRoman"/>
      <w:lvlText w:val="%6."/>
      <w:lvlJc w:val="right"/>
      <w:pPr>
        <w:ind w:left="5400" w:hanging="180"/>
      </w:pPr>
    </w:lvl>
    <w:lvl w:ilvl="6" w:tplc="0409000F">
      <w:start w:val="1"/>
      <w:numFmt w:val="decimal"/>
      <w:lvlText w:val="%7."/>
      <w:lvlJc w:val="left"/>
      <w:pPr>
        <w:ind w:left="6120" w:hanging="360"/>
      </w:pPr>
    </w:lvl>
    <w:lvl w:ilvl="7" w:tplc="04090019">
      <w:start w:val="1"/>
      <w:numFmt w:val="lowerLetter"/>
      <w:lvlText w:val="%8."/>
      <w:lvlJc w:val="left"/>
      <w:pPr>
        <w:ind w:left="6840" w:hanging="360"/>
      </w:pPr>
    </w:lvl>
    <w:lvl w:ilvl="8" w:tplc="0409001B">
      <w:start w:val="1"/>
      <w:numFmt w:val="lowerRoman"/>
      <w:lvlText w:val="%9."/>
      <w:lvlJc w:val="right"/>
      <w:pPr>
        <w:ind w:left="7560" w:hanging="180"/>
      </w:pPr>
    </w:lvl>
  </w:abstractNum>
  <w:abstractNum w:abstractNumId="3" w15:restartNumberingAfterBreak="0">
    <w:nsid w:val="418F4872"/>
    <w:multiLevelType w:val="hybridMultilevel"/>
    <w:tmpl w:val="66AC318C"/>
    <w:lvl w:ilvl="0" w:tplc="81EC9E96">
      <w:start w:val="1"/>
      <w:numFmt w:val="decimal"/>
      <w:lvlText w:val="(%1)"/>
      <w:lvlJc w:val="left"/>
      <w:pPr>
        <w:ind w:left="720" w:hanging="360"/>
      </w:pPr>
      <w:rPr>
        <w:color w:val="auto"/>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4" w15:restartNumberingAfterBreak="0">
    <w:nsid w:val="5D2236E8"/>
    <w:multiLevelType w:val="hybridMultilevel"/>
    <w:tmpl w:val="CB423462"/>
    <w:lvl w:ilvl="0" w:tplc="A76A2AD6">
      <w:start w:val="5"/>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5" w15:restartNumberingAfterBreak="0">
    <w:nsid w:val="7363696B"/>
    <w:multiLevelType w:val="hybridMultilevel"/>
    <w:tmpl w:val="9D24E092"/>
    <w:lvl w:ilvl="0" w:tplc="68FC166C">
      <w:start w:val="1"/>
      <w:numFmt w:val="lowerLetter"/>
      <w:lvlText w:val="(%1)"/>
      <w:lvlJc w:val="left"/>
      <w:pPr>
        <w:ind w:left="1080" w:hanging="360"/>
      </w:p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start w:val="1"/>
      <w:numFmt w:val="decimal"/>
      <w:lvlText w:val="%4."/>
      <w:lvlJc w:val="left"/>
      <w:pPr>
        <w:ind w:left="3240" w:hanging="360"/>
      </w:pPr>
    </w:lvl>
    <w:lvl w:ilvl="4" w:tplc="04090019">
      <w:start w:val="1"/>
      <w:numFmt w:val="lowerLetter"/>
      <w:lvlText w:val="%5."/>
      <w:lvlJc w:val="left"/>
      <w:pPr>
        <w:ind w:left="3960" w:hanging="360"/>
      </w:pPr>
    </w:lvl>
    <w:lvl w:ilvl="5" w:tplc="0409001B">
      <w:start w:val="1"/>
      <w:numFmt w:val="lowerRoman"/>
      <w:lvlText w:val="%6."/>
      <w:lvlJc w:val="right"/>
      <w:pPr>
        <w:ind w:left="4680" w:hanging="180"/>
      </w:pPr>
    </w:lvl>
    <w:lvl w:ilvl="6" w:tplc="0409000F">
      <w:start w:val="1"/>
      <w:numFmt w:val="decimal"/>
      <w:lvlText w:val="%7."/>
      <w:lvlJc w:val="left"/>
      <w:pPr>
        <w:ind w:left="5400" w:hanging="360"/>
      </w:pPr>
    </w:lvl>
    <w:lvl w:ilvl="7" w:tplc="04090019">
      <w:start w:val="1"/>
      <w:numFmt w:val="lowerLetter"/>
      <w:lvlText w:val="%8."/>
      <w:lvlJc w:val="left"/>
      <w:pPr>
        <w:ind w:left="6120" w:hanging="360"/>
      </w:pPr>
    </w:lvl>
    <w:lvl w:ilvl="8" w:tplc="0409001B">
      <w:start w:val="1"/>
      <w:numFmt w:val="lowerRoman"/>
      <w:lvlText w:val="%9."/>
      <w:lvlJc w:val="right"/>
      <w:pPr>
        <w:ind w:left="6840" w:hanging="180"/>
      </w:pPr>
    </w:lvl>
  </w:abstractNum>
  <w:abstractNum w:abstractNumId="6" w15:restartNumberingAfterBreak="0">
    <w:nsid w:val="74937FB5"/>
    <w:multiLevelType w:val="hybridMultilevel"/>
    <w:tmpl w:val="3DE26504"/>
    <w:lvl w:ilvl="0" w:tplc="494A1342">
      <w:start w:val="1"/>
      <w:numFmt w:val="lowerLetter"/>
      <w:lvlText w:val="(%1)"/>
      <w:lvlJc w:val="left"/>
      <w:pPr>
        <w:ind w:left="1103" w:hanging="383"/>
      </w:p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start w:val="1"/>
      <w:numFmt w:val="decimal"/>
      <w:lvlText w:val="%4."/>
      <w:lvlJc w:val="left"/>
      <w:pPr>
        <w:ind w:left="3240" w:hanging="360"/>
      </w:pPr>
    </w:lvl>
    <w:lvl w:ilvl="4" w:tplc="04090019">
      <w:start w:val="1"/>
      <w:numFmt w:val="lowerLetter"/>
      <w:lvlText w:val="%5."/>
      <w:lvlJc w:val="left"/>
      <w:pPr>
        <w:ind w:left="3960" w:hanging="360"/>
      </w:pPr>
    </w:lvl>
    <w:lvl w:ilvl="5" w:tplc="0409001B">
      <w:start w:val="1"/>
      <w:numFmt w:val="lowerRoman"/>
      <w:lvlText w:val="%6."/>
      <w:lvlJc w:val="right"/>
      <w:pPr>
        <w:ind w:left="4680" w:hanging="180"/>
      </w:pPr>
    </w:lvl>
    <w:lvl w:ilvl="6" w:tplc="0409000F">
      <w:start w:val="1"/>
      <w:numFmt w:val="decimal"/>
      <w:lvlText w:val="%7."/>
      <w:lvlJc w:val="left"/>
      <w:pPr>
        <w:ind w:left="5400" w:hanging="360"/>
      </w:pPr>
    </w:lvl>
    <w:lvl w:ilvl="7" w:tplc="04090019">
      <w:start w:val="1"/>
      <w:numFmt w:val="lowerLetter"/>
      <w:lvlText w:val="%8."/>
      <w:lvlJc w:val="left"/>
      <w:pPr>
        <w:ind w:left="6120" w:hanging="360"/>
      </w:pPr>
    </w:lvl>
    <w:lvl w:ilvl="8" w:tplc="0409001B">
      <w:start w:val="1"/>
      <w:numFmt w:val="lowerRoman"/>
      <w:lvlText w:val="%9."/>
      <w:lvlJc w:val="right"/>
      <w:pPr>
        <w:ind w:left="6840" w:hanging="180"/>
      </w:pPr>
    </w:lvl>
  </w:abstractNum>
  <w:num w:numId="1" w16cid:durableId="846092851">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623392779">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1464616074">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16cid:durableId="2064253802">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16cid:durableId="1429038914">
    <w:abstractNumId w:val="4"/>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16cid:durableId="1901667315">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16cid:durableId="468519285">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70"/>
  <w:defaultTabStop w:val="720"/>
  <w:drawingGridHorizontalSpacing w:val="120"/>
  <w:drawingGridVerticalSpacing w:val="163"/>
  <w:displayHorizontalDrawingGridEvery w:val="2"/>
  <w:displayVerticalDrawingGridEvery w:val="2"/>
  <w:characterSpacingControl w:val="doNotCompress"/>
  <w:footnotePr>
    <w:footnote w:id="-1"/>
    <w:footnote w:id="0"/>
  </w:footnotePr>
  <w:endnotePr>
    <w:numFmt w:val="decimal"/>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A0138"/>
    <w:rsid w:val="00002DD5"/>
    <w:rsid w:val="000051B4"/>
    <w:rsid w:val="000103F1"/>
    <w:rsid w:val="00013B56"/>
    <w:rsid w:val="00027BB9"/>
    <w:rsid w:val="000449D0"/>
    <w:rsid w:val="00044FAE"/>
    <w:rsid w:val="000554DB"/>
    <w:rsid w:val="0005729F"/>
    <w:rsid w:val="00064CB9"/>
    <w:rsid w:val="000727DF"/>
    <w:rsid w:val="00076824"/>
    <w:rsid w:val="00081672"/>
    <w:rsid w:val="00085654"/>
    <w:rsid w:val="00085F28"/>
    <w:rsid w:val="00086D08"/>
    <w:rsid w:val="00092029"/>
    <w:rsid w:val="000A3224"/>
    <w:rsid w:val="000A417A"/>
    <w:rsid w:val="000B4644"/>
    <w:rsid w:val="000B5F5E"/>
    <w:rsid w:val="000B7C3D"/>
    <w:rsid w:val="000C03AC"/>
    <w:rsid w:val="000C271B"/>
    <w:rsid w:val="000D05FC"/>
    <w:rsid w:val="000D1B39"/>
    <w:rsid w:val="000D312A"/>
    <w:rsid w:val="000E5B98"/>
    <w:rsid w:val="000F4A13"/>
    <w:rsid w:val="001002C7"/>
    <w:rsid w:val="001041BE"/>
    <w:rsid w:val="00107997"/>
    <w:rsid w:val="001344EC"/>
    <w:rsid w:val="00141B2D"/>
    <w:rsid w:val="00190397"/>
    <w:rsid w:val="001943B3"/>
    <w:rsid w:val="001965D8"/>
    <w:rsid w:val="001B0DE4"/>
    <w:rsid w:val="001B6E15"/>
    <w:rsid w:val="001D427B"/>
    <w:rsid w:val="001D6C1F"/>
    <w:rsid w:val="001E14B0"/>
    <w:rsid w:val="001E25F5"/>
    <w:rsid w:val="001F018A"/>
    <w:rsid w:val="001F785A"/>
    <w:rsid w:val="0020416F"/>
    <w:rsid w:val="00207F2F"/>
    <w:rsid w:val="00215B6B"/>
    <w:rsid w:val="0022525A"/>
    <w:rsid w:val="00235355"/>
    <w:rsid w:val="002475B2"/>
    <w:rsid w:val="00254815"/>
    <w:rsid w:val="00257900"/>
    <w:rsid w:val="00257C27"/>
    <w:rsid w:val="00271926"/>
    <w:rsid w:val="00294F6E"/>
    <w:rsid w:val="002A308A"/>
    <w:rsid w:val="002A7874"/>
    <w:rsid w:val="002C2874"/>
    <w:rsid w:val="002D2614"/>
    <w:rsid w:val="002D2CE6"/>
    <w:rsid w:val="002E2265"/>
    <w:rsid w:val="002E3E1F"/>
    <w:rsid w:val="002F314F"/>
    <w:rsid w:val="002F6E31"/>
    <w:rsid w:val="002F7A92"/>
    <w:rsid w:val="003035A9"/>
    <w:rsid w:val="003044C2"/>
    <w:rsid w:val="00304747"/>
    <w:rsid w:val="00326706"/>
    <w:rsid w:val="00330390"/>
    <w:rsid w:val="00354A31"/>
    <w:rsid w:val="0036348F"/>
    <w:rsid w:val="00365286"/>
    <w:rsid w:val="00375697"/>
    <w:rsid w:val="0038616C"/>
    <w:rsid w:val="00391CEB"/>
    <w:rsid w:val="003A2739"/>
    <w:rsid w:val="003A3153"/>
    <w:rsid w:val="003A6576"/>
    <w:rsid w:val="003B1DE9"/>
    <w:rsid w:val="003B6746"/>
    <w:rsid w:val="003B71EC"/>
    <w:rsid w:val="003C14C6"/>
    <w:rsid w:val="003D097B"/>
    <w:rsid w:val="003D17F5"/>
    <w:rsid w:val="003D4271"/>
    <w:rsid w:val="003E10EA"/>
    <w:rsid w:val="003F30BA"/>
    <w:rsid w:val="004058C5"/>
    <w:rsid w:val="00414290"/>
    <w:rsid w:val="004174E0"/>
    <w:rsid w:val="0042152E"/>
    <w:rsid w:val="00422958"/>
    <w:rsid w:val="0042368D"/>
    <w:rsid w:val="00430836"/>
    <w:rsid w:val="00434EF5"/>
    <w:rsid w:val="004357E8"/>
    <w:rsid w:val="0044052D"/>
    <w:rsid w:val="00466BA4"/>
    <w:rsid w:val="00472BC6"/>
    <w:rsid w:val="00477D20"/>
    <w:rsid w:val="00483586"/>
    <w:rsid w:val="004845BC"/>
    <w:rsid w:val="00484F6F"/>
    <w:rsid w:val="004850D4"/>
    <w:rsid w:val="00487C22"/>
    <w:rsid w:val="00487C8D"/>
    <w:rsid w:val="00496AE0"/>
    <w:rsid w:val="004B49BC"/>
    <w:rsid w:val="004B6C3F"/>
    <w:rsid w:val="004B7CB5"/>
    <w:rsid w:val="004D30B7"/>
    <w:rsid w:val="004D5F92"/>
    <w:rsid w:val="004E439E"/>
    <w:rsid w:val="004F1821"/>
    <w:rsid w:val="004F7EA4"/>
    <w:rsid w:val="00520834"/>
    <w:rsid w:val="00522C54"/>
    <w:rsid w:val="00526B7A"/>
    <w:rsid w:val="00536797"/>
    <w:rsid w:val="005440BA"/>
    <w:rsid w:val="005467AC"/>
    <w:rsid w:val="00561255"/>
    <w:rsid w:val="00564BF7"/>
    <w:rsid w:val="005671B9"/>
    <w:rsid w:val="00570ECE"/>
    <w:rsid w:val="00576896"/>
    <w:rsid w:val="00583F44"/>
    <w:rsid w:val="00592243"/>
    <w:rsid w:val="00592470"/>
    <w:rsid w:val="00595ABB"/>
    <w:rsid w:val="005A6DCE"/>
    <w:rsid w:val="005B41AE"/>
    <w:rsid w:val="005C210F"/>
    <w:rsid w:val="005C3D5B"/>
    <w:rsid w:val="005E2C6A"/>
    <w:rsid w:val="005E4206"/>
    <w:rsid w:val="005E624E"/>
    <w:rsid w:val="005E6CCE"/>
    <w:rsid w:val="005E7D7F"/>
    <w:rsid w:val="005F32D8"/>
    <w:rsid w:val="00616608"/>
    <w:rsid w:val="00624C81"/>
    <w:rsid w:val="0062576E"/>
    <w:rsid w:val="006260D1"/>
    <w:rsid w:val="0062736D"/>
    <w:rsid w:val="00633917"/>
    <w:rsid w:val="006344A5"/>
    <w:rsid w:val="00643400"/>
    <w:rsid w:val="0064449E"/>
    <w:rsid w:val="0064523F"/>
    <w:rsid w:val="00654FD3"/>
    <w:rsid w:val="006715B6"/>
    <w:rsid w:val="00671F8A"/>
    <w:rsid w:val="00676EDD"/>
    <w:rsid w:val="00686B1E"/>
    <w:rsid w:val="0069266F"/>
    <w:rsid w:val="00692C40"/>
    <w:rsid w:val="00696EC2"/>
    <w:rsid w:val="006970B4"/>
    <w:rsid w:val="006A49ED"/>
    <w:rsid w:val="006A56FD"/>
    <w:rsid w:val="006B066C"/>
    <w:rsid w:val="006B775F"/>
    <w:rsid w:val="006B7884"/>
    <w:rsid w:val="006C54AB"/>
    <w:rsid w:val="006D3D1C"/>
    <w:rsid w:val="006F3027"/>
    <w:rsid w:val="006F6B73"/>
    <w:rsid w:val="00701561"/>
    <w:rsid w:val="00706DCB"/>
    <w:rsid w:val="007266FE"/>
    <w:rsid w:val="007609D3"/>
    <w:rsid w:val="00761DC3"/>
    <w:rsid w:val="00762E50"/>
    <w:rsid w:val="007653EF"/>
    <w:rsid w:val="00766D75"/>
    <w:rsid w:val="00767009"/>
    <w:rsid w:val="00767649"/>
    <w:rsid w:val="00771AD3"/>
    <w:rsid w:val="007745CE"/>
    <w:rsid w:val="0077704A"/>
    <w:rsid w:val="00792580"/>
    <w:rsid w:val="007942CA"/>
    <w:rsid w:val="00794868"/>
    <w:rsid w:val="00794E1F"/>
    <w:rsid w:val="00797310"/>
    <w:rsid w:val="007A395C"/>
    <w:rsid w:val="007B2E66"/>
    <w:rsid w:val="007B540A"/>
    <w:rsid w:val="007C2D1F"/>
    <w:rsid w:val="007C4710"/>
    <w:rsid w:val="007D04C9"/>
    <w:rsid w:val="007D0F90"/>
    <w:rsid w:val="007D6C38"/>
    <w:rsid w:val="007E3A08"/>
    <w:rsid w:val="007E4794"/>
    <w:rsid w:val="007E5196"/>
    <w:rsid w:val="00803478"/>
    <w:rsid w:val="008067B4"/>
    <w:rsid w:val="00807958"/>
    <w:rsid w:val="00807A91"/>
    <w:rsid w:val="0081025F"/>
    <w:rsid w:val="0081034B"/>
    <w:rsid w:val="00820B86"/>
    <w:rsid w:val="00821A3D"/>
    <w:rsid w:val="008405BC"/>
    <w:rsid w:val="008443A0"/>
    <w:rsid w:val="008448FF"/>
    <w:rsid w:val="0084577C"/>
    <w:rsid w:val="00847EB9"/>
    <w:rsid w:val="008551FF"/>
    <w:rsid w:val="008703D5"/>
    <w:rsid w:val="00870705"/>
    <w:rsid w:val="0087784F"/>
    <w:rsid w:val="008852CE"/>
    <w:rsid w:val="0089198B"/>
    <w:rsid w:val="00896050"/>
    <w:rsid w:val="008A49DB"/>
    <w:rsid w:val="008A74F2"/>
    <w:rsid w:val="008B5B55"/>
    <w:rsid w:val="008B7508"/>
    <w:rsid w:val="008D33D7"/>
    <w:rsid w:val="008E3167"/>
    <w:rsid w:val="008F4156"/>
    <w:rsid w:val="008F5247"/>
    <w:rsid w:val="008F7879"/>
    <w:rsid w:val="0090439B"/>
    <w:rsid w:val="009049CD"/>
    <w:rsid w:val="009117E4"/>
    <w:rsid w:val="009137E3"/>
    <w:rsid w:val="009242B6"/>
    <w:rsid w:val="00932816"/>
    <w:rsid w:val="00933841"/>
    <w:rsid w:val="00947AA7"/>
    <w:rsid w:val="00966B90"/>
    <w:rsid w:val="009677CF"/>
    <w:rsid w:val="00996097"/>
    <w:rsid w:val="009A2AC9"/>
    <w:rsid w:val="009C3A0F"/>
    <w:rsid w:val="009C554C"/>
    <w:rsid w:val="009D24DD"/>
    <w:rsid w:val="009D294D"/>
    <w:rsid w:val="009D5455"/>
    <w:rsid w:val="009E6219"/>
    <w:rsid w:val="009F1115"/>
    <w:rsid w:val="009F5133"/>
    <w:rsid w:val="009F777E"/>
    <w:rsid w:val="009F7FEC"/>
    <w:rsid w:val="00A16977"/>
    <w:rsid w:val="00A1744F"/>
    <w:rsid w:val="00A23E66"/>
    <w:rsid w:val="00A3689C"/>
    <w:rsid w:val="00A42F30"/>
    <w:rsid w:val="00A649A0"/>
    <w:rsid w:val="00A7131F"/>
    <w:rsid w:val="00A804A2"/>
    <w:rsid w:val="00A8704D"/>
    <w:rsid w:val="00A92AEC"/>
    <w:rsid w:val="00AA75AC"/>
    <w:rsid w:val="00AB72A2"/>
    <w:rsid w:val="00AC5EF8"/>
    <w:rsid w:val="00AD48FC"/>
    <w:rsid w:val="00AD494A"/>
    <w:rsid w:val="00AD49E0"/>
    <w:rsid w:val="00AE4487"/>
    <w:rsid w:val="00AF5D83"/>
    <w:rsid w:val="00B079EC"/>
    <w:rsid w:val="00B125CD"/>
    <w:rsid w:val="00B16E4A"/>
    <w:rsid w:val="00B3173C"/>
    <w:rsid w:val="00B34557"/>
    <w:rsid w:val="00B3743F"/>
    <w:rsid w:val="00B40039"/>
    <w:rsid w:val="00B74131"/>
    <w:rsid w:val="00B76318"/>
    <w:rsid w:val="00B763B9"/>
    <w:rsid w:val="00B91D0F"/>
    <w:rsid w:val="00B97B44"/>
    <w:rsid w:val="00BB363D"/>
    <w:rsid w:val="00BB5FFC"/>
    <w:rsid w:val="00BC013B"/>
    <w:rsid w:val="00BD088D"/>
    <w:rsid w:val="00BD77DA"/>
    <w:rsid w:val="00BE36E4"/>
    <w:rsid w:val="00BF3FE7"/>
    <w:rsid w:val="00C07299"/>
    <w:rsid w:val="00C100D6"/>
    <w:rsid w:val="00C10878"/>
    <w:rsid w:val="00C12082"/>
    <w:rsid w:val="00C13EF3"/>
    <w:rsid w:val="00C16D06"/>
    <w:rsid w:val="00C348EB"/>
    <w:rsid w:val="00C35F97"/>
    <w:rsid w:val="00C42499"/>
    <w:rsid w:val="00C47248"/>
    <w:rsid w:val="00C63061"/>
    <w:rsid w:val="00C64F6B"/>
    <w:rsid w:val="00C676E7"/>
    <w:rsid w:val="00C67792"/>
    <w:rsid w:val="00C729BF"/>
    <w:rsid w:val="00C734E3"/>
    <w:rsid w:val="00C764DC"/>
    <w:rsid w:val="00C80810"/>
    <w:rsid w:val="00C80FC7"/>
    <w:rsid w:val="00C87C2C"/>
    <w:rsid w:val="00C943B8"/>
    <w:rsid w:val="00C94416"/>
    <w:rsid w:val="00CB0AEE"/>
    <w:rsid w:val="00CB2064"/>
    <w:rsid w:val="00CB33CA"/>
    <w:rsid w:val="00CD40B4"/>
    <w:rsid w:val="00CD778C"/>
    <w:rsid w:val="00CE5DCE"/>
    <w:rsid w:val="00CF160C"/>
    <w:rsid w:val="00D0484C"/>
    <w:rsid w:val="00D07100"/>
    <w:rsid w:val="00D077E5"/>
    <w:rsid w:val="00D25696"/>
    <w:rsid w:val="00D260D0"/>
    <w:rsid w:val="00D406D7"/>
    <w:rsid w:val="00D476D2"/>
    <w:rsid w:val="00D535A8"/>
    <w:rsid w:val="00D60771"/>
    <w:rsid w:val="00D60CD6"/>
    <w:rsid w:val="00D60E31"/>
    <w:rsid w:val="00D61320"/>
    <w:rsid w:val="00D61C8F"/>
    <w:rsid w:val="00D62A23"/>
    <w:rsid w:val="00D84189"/>
    <w:rsid w:val="00D93D3D"/>
    <w:rsid w:val="00DB3C1F"/>
    <w:rsid w:val="00DB561F"/>
    <w:rsid w:val="00DD198C"/>
    <w:rsid w:val="00DD6FAC"/>
    <w:rsid w:val="00E10CCD"/>
    <w:rsid w:val="00E14619"/>
    <w:rsid w:val="00E15ECC"/>
    <w:rsid w:val="00E23085"/>
    <w:rsid w:val="00E30D2F"/>
    <w:rsid w:val="00E31DAF"/>
    <w:rsid w:val="00E32DC3"/>
    <w:rsid w:val="00E33CB6"/>
    <w:rsid w:val="00E45F18"/>
    <w:rsid w:val="00E57568"/>
    <w:rsid w:val="00E63B15"/>
    <w:rsid w:val="00E67117"/>
    <w:rsid w:val="00E7565D"/>
    <w:rsid w:val="00EB5B72"/>
    <w:rsid w:val="00EC49F2"/>
    <w:rsid w:val="00EC74E0"/>
    <w:rsid w:val="00ED3D30"/>
    <w:rsid w:val="00EE7941"/>
    <w:rsid w:val="00F04943"/>
    <w:rsid w:val="00F13C89"/>
    <w:rsid w:val="00F17047"/>
    <w:rsid w:val="00F211A8"/>
    <w:rsid w:val="00F264C3"/>
    <w:rsid w:val="00F27AC8"/>
    <w:rsid w:val="00F6100E"/>
    <w:rsid w:val="00F80FCC"/>
    <w:rsid w:val="00F81AA0"/>
    <w:rsid w:val="00F81D7F"/>
    <w:rsid w:val="00F855E1"/>
    <w:rsid w:val="00F86036"/>
    <w:rsid w:val="00FA0138"/>
    <w:rsid w:val="00FA73AB"/>
    <w:rsid w:val="00FB481F"/>
    <w:rsid w:val="00FD4B12"/>
    <w:rsid w:val="00FD7E1D"/>
    <w:rsid w:val="00FE42CE"/>
    <w:rsid w:val="00FE445D"/>
    <w:rsid w:val="00FF4D7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EB6482F"/>
  <w15:chartTrackingRefBased/>
  <w15:docId w15:val="{B357410B-1D18-4048-847D-D30A942FE03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heme="minorHAnsi" w:hAnsi="Times New Roman" w:cs="Times New Roman"/>
        <w:kern w:val="2"/>
        <w:sz w:val="24"/>
        <w:szCs w:val="24"/>
        <w:lang w:val="en-US" w:eastAsia="en-US" w:bidi="ar-SA"/>
        <w14:ligatures w14:val="standardContextual"/>
      </w:rPr>
    </w:rPrDefault>
    <w:pPrDefault>
      <w:pPr>
        <w:spacing w:before="1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A74F2"/>
  </w:style>
  <w:style w:type="paragraph" w:styleId="Heading1">
    <w:name w:val="heading 1"/>
    <w:basedOn w:val="Normal"/>
    <w:next w:val="Normal"/>
    <w:link w:val="Heading1Char"/>
    <w:uiPriority w:val="9"/>
    <w:qFormat/>
    <w:rsid w:val="00FA0138"/>
    <w:pPr>
      <w:keepNext/>
      <w:keepLines/>
      <w:spacing w:before="360" w:after="80"/>
      <w:outlineLvl w:val="0"/>
    </w:pPr>
    <w:rPr>
      <w:rFonts w:asciiTheme="majorHAnsi" w:eastAsiaTheme="majorEastAsia" w:hAnsiTheme="majorHAnsi" w:cstheme="majorBidi"/>
      <w:color w:val="2F5496" w:themeColor="accent1" w:themeShade="BF"/>
      <w:sz w:val="40"/>
      <w:szCs w:val="40"/>
    </w:rPr>
  </w:style>
  <w:style w:type="paragraph" w:styleId="Heading2">
    <w:name w:val="heading 2"/>
    <w:basedOn w:val="Normal"/>
    <w:next w:val="Normal"/>
    <w:link w:val="Heading2Char"/>
    <w:uiPriority w:val="9"/>
    <w:semiHidden/>
    <w:unhideWhenUsed/>
    <w:qFormat/>
    <w:rsid w:val="00FA0138"/>
    <w:pPr>
      <w:keepNext/>
      <w:keepLines/>
      <w:spacing w:before="160" w:after="80"/>
      <w:outlineLvl w:val="1"/>
    </w:pPr>
    <w:rPr>
      <w:rFonts w:asciiTheme="majorHAnsi" w:eastAsiaTheme="majorEastAsia" w:hAnsiTheme="majorHAnsi" w:cstheme="majorBidi"/>
      <w:color w:val="2F5496" w:themeColor="accent1" w:themeShade="BF"/>
      <w:sz w:val="32"/>
      <w:szCs w:val="32"/>
    </w:rPr>
  </w:style>
  <w:style w:type="paragraph" w:styleId="Heading3">
    <w:name w:val="heading 3"/>
    <w:basedOn w:val="Normal"/>
    <w:next w:val="Normal"/>
    <w:link w:val="Heading3Char"/>
    <w:uiPriority w:val="9"/>
    <w:semiHidden/>
    <w:unhideWhenUsed/>
    <w:qFormat/>
    <w:rsid w:val="00FA0138"/>
    <w:pPr>
      <w:keepNext/>
      <w:keepLines/>
      <w:spacing w:before="160" w:after="80"/>
      <w:outlineLvl w:val="2"/>
    </w:pPr>
    <w:rPr>
      <w:rFonts w:asciiTheme="minorHAnsi" w:eastAsiaTheme="majorEastAsia" w:hAnsiTheme="minorHAnsi" w:cstheme="majorBidi"/>
      <w:color w:val="2F5496" w:themeColor="accent1" w:themeShade="BF"/>
      <w:sz w:val="28"/>
      <w:szCs w:val="28"/>
    </w:rPr>
  </w:style>
  <w:style w:type="paragraph" w:styleId="Heading4">
    <w:name w:val="heading 4"/>
    <w:basedOn w:val="Normal"/>
    <w:next w:val="Normal"/>
    <w:link w:val="Heading4Char"/>
    <w:uiPriority w:val="9"/>
    <w:semiHidden/>
    <w:unhideWhenUsed/>
    <w:qFormat/>
    <w:rsid w:val="00FA0138"/>
    <w:pPr>
      <w:keepNext/>
      <w:keepLines/>
      <w:spacing w:before="80" w:after="40"/>
      <w:outlineLvl w:val="3"/>
    </w:pPr>
    <w:rPr>
      <w:rFonts w:asciiTheme="minorHAnsi" w:eastAsiaTheme="majorEastAsia" w:hAnsiTheme="minorHAnsi" w:cstheme="majorBidi"/>
      <w:i/>
      <w:iCs/>
      <w:color w:val="2F5496" w:themeColor="accent1" w:themeShade="BF"/>
    </w:rPr>
  </w:style>
  <w:style w:type="paragraph" w:styleId="Heading5">
    <w:name w:val="heading 5"/>
    <w:basedOn w:val="Normal"/>
    <w:next w:val="Normal"/>
    <w:link w:val="Heading5Char"/>
    <w:uiPriority w:val="9"/>
    <w:semiHidden/>
    <w:unhideWhenUsed/>
    <w:qFormat/>
    <w:rsid w:val="00FA0138"/>
    <w:pPr>
      <w:keepNext/>
      <w:keepLines/>
      <w:spacing w:before="80" w:after="40"/>
      <w:outlineLvl w:val="4"/>
    </w:pPr>
    <w:rPr>
      <w:rFonts w:asciiTheme="minorHAnsi" w:eastAsiaTheme="majorEastAsia" w:hAnsiTheme="minorHAnsi" w:cstheme="majorBidi"/>
      <w:color w:val="2F5496" w:themeColor="accent1" w:themeShade="BF"/>
    </w:rPr>
  </w:style>
  <w:style w:type="paragraph" w:styleId="Heading6">
    <w:name w:val="heading 6"/>
    <w:basedOn w:val="Normal"/>
    <w:next w:val="Normal"/>
    <w:link w:val="Heading6Char"/>
    <w:uiPriority w:val="9"/>
    <w:semiHidden/>
    <w:unhideWhenUsed/>
    <w:qFormat/>
    <w:rsid w:val="00FA0138"/>
    <w:pPr>
      <w:keepNext/>
      <w:keepLines/>
      <w:spacing w:before="40"/>
      <w:outlineLvl w:val="5"/>
    </w:pPr>
    <w:rPr>
      <w:rFonts w:asciiTheme="minorHAnsi" w:eastAsiaTheme="majorEastAsia" w:hAnsiTheme="minorHAnsi" w:cstheme="majorBidi"/>
      <w:i/>
      <w:iCs/>
      <w:color w:val="595959" w:themeColor="text1" w:themeTint="A6"/>
    </w:rPr>
  </w:style>
  <w:style w:type="paragraph" w:styleId="Heading7">
    <w:name w:val="heading 7"/>
    <w:basedOn w:val="Normal"/>
    <w:next w:val="Normal"/>
    <w:link w:val="Heading7Char"/>
    <w:uiPriority w:val="9"/>
    <w:semiHidden/>
    <w:unhideWhenUsed/>
    <w:qFormat/>
    <w:rsid w:val="00FA0138"/>
    <w:pPr>
      <w:keepNext/>
      <w:keepLines/>
      <w:spacing w:before="40"/>
      <w:outlineLvl w:val="6"/>
    </w:pPr>
    <w:rPr>
      <w:rFonts w:asciiTheme="minorHAnsi" w:eastAsiaTheme="majorEastAsia" w:hAnsiTheme="minorHAnsi" w:cstheme="majorBidi"/>
      <w:color w:val="595959" w:themeColor="text1" w:themeTint="A6"/>
    </w:rPr>
  </w:style>
  <w:style w:type="paragraph" w:styleId="Heading8">
    <w:name w:val="heading 8"/>
    <w:basedOn w:val="Normal"/>
    <w:next w:val="Normal"/>
    <w:link w:val="Heading8Char"/>
    <w:uiPriority w:val="9"/>
    <w:semiHidden/>
    <w:unhideWhenUsed/>
    <w:qFormat/>
    <w:rsid w:val="00FA0138"/>
    <w:pPr>
      <w:keepNext/>
      <w:keepLines/>
      <w:spacing w:before="0"/>
      <w:outlineLvl w:val="7"/>
    </w:pPr>
    <w:rPr>
      <w:rFonts w:asciiTheme="minorHAnsi" w:eastAsiaTheme="majorEastAsia" w:hAnsiTheme="minorHAnsi" w:cstheme="majorBidi"/>
      <w:i/>
      <w:iCs/>
      <w:color w:val="272727" w:themeColor="text1" w:themeTint="D8"/>
    </w:rPr>
  </w:style>
  <w:style w:type="paragraph" w:styleId="Heading9">
    <w:name w:val="heading 9"/>
    <w:basedOn w:val="Normal"/>
    <w:next w:val="Normal"/>
    <w:link w:val="Heading9Char"/>
    <w:uiPriority w:val="9"/>
    <w:semiHidden/>
    <w:unhideWhenUsed/>
    <w:qFormat/>
    <w:rsid w:val="00FA0138"/>
    <w:pPr>
      <w:keepNext/>
      <w:keepLines/>
      <w:spacing w:before="0"/>
      <w:outlineLvl w:val="8"/>
    </w:pPr>
    <w:rPr>
      <w:rFonts w:asciiTheme="minorHAnsi" w:eastAsiaTheme="majorEastAsia" w:hAnsiTheme="minorHAnsi"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EquationCaption">
    <w:name w:val="_Equation Caption"/>
    <w:uiPriority w:val="99"/>
    <w:rsid w:val="006F6B73"/>
  </w:style>
  <w:style w:type="paragraph" w:styleId="Index1">
    <w:name w:val="index 1"/>
    <w:basedOn w:val="Normal"/>
    <w:next w:val="Normal"/>
    <w:uiPriority w:val="99"/>
    <w:rsid w:val="006F6B73"/>
    <w:pPr>
      <w:tabs>
        <w:tab w:val="right" w:leader="dot" w:pos="9360"/>
      </w:tabs>
      <w:suppressAutoHyphens/>
      <w:spacing w:line="240" w:lineRule="atLeast"/>
      <w:ind w:left="720" w:hanging="720"/>
    </w:pPr>
    <w:rPr>
      <w:rFonts w:eastAsia="Times New Roman"/>
    </w:rPr>
  </w:style>
  <w:style w:type="paragraph" w:styleId="Index2">
    <w:name w:val="index 2"/>
    <w:basedOn w:val="Normal"/>
    <w:next w:val="Normal"/>
    <w:uiPriority w:val="99"/>
    <w:rsid w:val="006F6B73"/>
    <w:pPr>
      <w:tabs>
        <w:tab w:val="right" w:leader="dot" w:pos="9360"/>
      </w:tabs>
      <w:suppressAutoHyphens/>
      <w:spacing w:line="240" w:lineRule="atLeast"/>
      <w:ind w:left="720"/>
    </w:pPr>
    <w:rPr>
      <w:rFonts w:eastAsia="Times New Roman"/>
    </w:rPr>
  </w:style>
  <w:style w:type="paragraph" w:styleId="TOC1">
    <w:name w:val="toc 1"/>
    <w:basedOn w:val="NoSpacing"/>
    <w:next w:val="NoSpacing"/>
    <w:autoRedefine/>
    <w:uiPriority w:val="39"/>
    <w:qFormat/>
    <w:rsid w:val="00107997"/>
    <w:pPr>
      <w:widowControl w:val="0"/>
      <w:tabs>
        <w:tab w:val="right" w:leader="dot" w:pos="9360"/>
      </w:tabs>
      <w:suppressAutoHyphens/>
      <w:autoSpaceDE w:val="0"/>
      <w:autoSpaceDN w:val="0"/>
      <w:adjustRightInd w:val="0"/>
      <w:spacing w:before="480" w:line="240" w:lineRule="atLeast"/>
      <w:ind w:left="720" w:right="720" w:hanging="720"/>
    </w:pPr>
    <w:rPr>
      <w:rFonts w:eastAsia="Times New Roman" w:cs="Courier New"/>
      <w:szCs w:val="20"/>
    </w:rPr>
  </w:style>
  <w:style w:type="paragraph" w:styleId="TOC2">
    <w:name w:val="toc 2"/>
    <w:basedOn w:val="Normal"/>
    <w:next w:val="Normal"/>
    <w:uiPriority w:val="99"/>
    <w:rsid w:val="006F6B73"/>
    <w:pPr>
      <w:tabs>
        <w:tab w:val="right" w:leader="dot" w:pos="9360"/>
      </w:tabs>
      <w:suppressAutoHyphens/>
      <w:spacing w:line="240" w:lineRule="atLeast"/>
      <w:ind w:left="720" w:right="720"/>
    </w:pPr>
    <w:rPr>
      <w:rFonts w:eastAsia="Times New Roman"/>
    </w:rPr>
  </w:style>
  <w:style w:type="paragraph" w:styleId="TOC3">
    <w:name w:val="toc 3"/>
    <w:basedOn w:val="Normal"/>
    <w:next w:val="Normal"/>
    <w:uiPriority w:val="99"/>
    <w:rsid w:val="006F6B73"/>
    <w:pPr>
      <w:tabs>
        <w:tab w:val="right" w:leader="dot" w:pos="9360"/>
      </w:tabs>
      <w:suppressAutoHyphens/>
      <w:spacing w:line="240" w:lineRule="atLeast"/>
      <w:ind w:left="720" w:right="720"/>
    </w:pPr>
    <w:rPr>
      <w:rFonts w:eastAsia="Times New Roman"/>
    </w:rPr>
  </w:style>
  <w:style w:type="paragraph" w:styleId="TOC4">
    <w:name w:val="toc 4"/>
    <w:basedOn w:val="Normal"/>
    <w:next w:val="Normal"/>
    <w:uiPriority w:val="99"/>
    <w:rsid w:val="006F6B73"/>
    <w:pPr>
      <w:tabs>
        <w:tab w:val="right" w:leader="dot" w:pos="9360"/>
      </w:tabs>
      <w:suppressAutoHyphens/>
      <w:spacing w:line="240" w:lineRule="atLeast"/>
      <w:ind w:left="720" w:right="720"/>
    </w:pPr>
    <w:rPr>
      <w:rFonts w:eastAsia="Times New Roman"/>
    </w:rPr>
  </w:style>
  <w:style w:type="paragraph" w:styleId="TOC5">
    <w:name w:val="toc 5"/>
    <w:basedOn w:val="Normal"/>
    <w:next w:val="Normal"/>
    <w:uiPriority w:val="99"/>
    <w:rsid w:val="006F6B73"/>
    <w:pPr>
      <w:tabs>
        <w:tab w:val="right" w:leader="dot" w:pos="9360"/>
      </w:tabs>
      <w:suppressAutoHyphens/>
      <w:spacing w:line="240" w:lineRule="atLeast"/>
      <w:ind w:left="720" w:right="720"/>
    </w:pPr>
    <w:rPr>
      <w:rFonts w:eastAsia="Times New Roman"/>
    </w:rPr>
  </w:style>
  <w:style w:type="paragraph" w:styleId="TOC6">
    <w:name w:val="toc 6"/>
    <w:basedOn w:val="Normal"/>
    <w:next w:val="Normal"/>
    <w:uiPriority w:val="99"/>
    <w:rsid w:val="006F6B73"/>
    <w:pPr>
      <w:tabs>
        <w:tab w:val="right" w:pos="9360"/>
      </w:tabs>
      <w:suppressAutoHyphens/>
      <w:spacing w:line="240" w:lineRule="atLeast"/>
      <w:ind w:left="720" w:hanging="720"/>
    </w:pPr>
    <w:rPr>
      <w:rFonts w:eastAsia="Times New Roman"/>
    </w:rPr>
  </w:style>
  <w:style w:type="paragraph" w:styleId="TOC7">
    <w:name w:val="toc 7"/>
    <w:basedOn w:val="Normal"/>
    <w:next w:val="Normal"/>
    <w:uiPriority w:val="99"/>
    <w:rsid w:val="006F6B73"/>
    <w:pPr>
      <w:suppressAutoHyphens/>
      <w:spacing w:line="240" w:lineRule="atLeast"/>
      <w:ind w:left="720" w:hanging="720"/>
    </w:pPr>
    <w:rPr>
      <w:rFonts w:eastAsia="Times New Roman"/>
    </w:rPr>
  </w:style>
  <w:style w:type="paragraph" w:styleId="TOC8">
    <w:name w:val="toc 8"/>
    <w:basedOn w:val="Normal"/>
    <w:next w:val="Normal"/>
    <w:uiPriority w:val="99"/>
    <w:rsid w:val="006F6B73"/>
    <w:pPr>
      <w:tabs>
        <w:tab w:val="right" w:pos="9360"/>
      </w:tabs>
      <w:suppressAutoHyphens/>
      <w:spacing w:line="240" w:lineRule="atLeast"/>
      <w:ind w:left="720" w:hanging="720"/>
    </w:pPr>
    <w:rPr>
      <w:rFonts w:eastAsia="Times New Roman"/>
    </w:rPr>
  </w:style>
  <w:style w:type="paragraph" w:styleId="TOC9">
    <w:name w:val="toc 9"/>
    <w:basedOn w:val="Normal"/>
    <w:next w:val="Normal"/>
    <w:uiPriority w:val="99"/>
    <w:rsid w:val="006F6B73"/>
    <w:pPr>
      <w:tabs>
        <w:tab w:val="right" w:leader="dot" w:pos="9360"/>
      </w:tabs>
      <w:suppressAutoHyphens/>
      <w:spacing w:line="240" w:lineRule="atLeast"/>
      <w:ind w:left="720" w:hanging="720"/>
    </w:pPr>
    <w:rPr>
      <w:rFonts w:eastAsia="Times New Roman"/>
    </w:rPr>
  </w:style>
  <w:style w:type="paragraph" w:styleId="FootnoteText">
    <w:name w:val="footnote text"/>
    <w:basedOn w:val="Normal"/>
    <w:link w:val="FootnoteTextChar"/>
    <w:uiPriority w:val="99"/>
    <w:rsid w:val="006F6B73"/>
    <w:rPr>
      <w:rFonts w:eastAsia="Times New Roman"/>
    </w:rPr>
  </w:style>
  <w:style w:type="character" w:customStyle="1" w:styleId="FootnoteTextChar">
    <w:name w:val="Footnote Text Char"/>
    <w:link w:val="FootnoteText"/>
    <w:uiPriority w:val="99"/>
    <w:rsid w:val="006F6B73"/>
    <w:rPr>
      <w:rFonts w:ascii="Courier New" w:eastAsia="Times New Roman" w:hAnsi="Courier New" w:cs="Courier New"/>
      <w:sz w:val="24"/>
      <w:szCs w:val="24"/>
    </w:rPr>
  </w:style>
  <w:style w:type="paragraph" w:styleId="Header">
    <w:name w:val="header"/>
    <w:basedOn w:val="Normal"/>
    <w:link w:val="HeaderChar"/>
    <w:uiPriority w:val="99"/>
    <w:unhideWhenUsed/>
    <w:rsid w:val="006F6B73"/>
    <w:pPr>
      <w:tabs>
        <w:tab w:val="center" w:pos="4680"/>
        <w:tab w:val="right" w:pos="9360"/>
      </w:tabs>
    </w:pPr>
    <w:rPr>
      <w:rFonts w:eastAsia="Times New Roman"/>
    </w:rPr>
  </w:style>
  <w:style w:type="character" w:customStyle="1" w:styleId="HeaderChar">
    <w:name w:val="Header Char"/>
    <w:link w:val="Header"/>
    <w:uiPriority w:val="99"/>
    <w:rsid w:val="006F6B73"/>
    <w:rPr>
      <w:rFonts w:ascii="Courier New" w:eastAsia="Times New Roman" w:hAnsi="Courier New" w:cs="Courier New"/>
      <w:sz w:val="20"/>
      <w:szCs w:val="20"/>
    </w:rPr>
  </w:style>
  <w:style w:type="paragraph" w:styleId="Footer">
    <w:name w:val="footer"/>
    <w:basedOn w:val="Normal"/>
    <w:link w:val="FooterChar"/>
    <w:uiPriority w:val="99"/>
    <w:unhideWhenUsed/>
    <w:rsid w:val="006F6B73"/>
    <w:pPr>
      <w:tabs>
        <w:tab w:val="center" w:pos="4680"/>
        <w:tab w:val="right" w:pos="9360"/>
      </w:tabs>
    </w:pPr>
    <w:rPr>
      <w:rFonts w:eastAsia="Times New Roman"/>
    </w:rPr>
  </w:style>
  <w:style w:type="character" w:customStyle="1" w:styleId="FooterChar">
    <w:name w:val="Footer Char"/>
    <w:link w:val="Footer"/>
    <w:uiPriority w:val="99"/>
    <w:rsid w:val="006F6B73"/>
    <w:rPr>
      <w:rFonts w:ascii="Courier New" w:eastAsia="Times New Roman" w:hAnsi="Courier New" w:cs="Courier New"/>
      <w:sz w:val="20"/>
      <w:szCs w:val="20"/>
    </w:rPr>
  </w:style>
  <w:style w:type="paragraph" w:styleId="Caption">
    <w:name w:val="caption"/>
    <w:basedOn w:val="Normal"/>
    <w:next w:val="Normal"/>
    <w:uiPriority w:val="99"/>
    <w:qFormat/>
    <w:rsid w:val="006F6B73"/>
    <w:rPr>
      <w:rFonts w:eastAsia="Times New Roman"/>
    </w:rPr>
  </w:style>
  <w:style w:type="character" w:styleId="FootnoteReference">
    <w:name w:val="footnote reference"/>
    <w:uiPriority w:val="99"/>
    <w:rsid w:val="006F6B73"/>
    <w:rPr>
      <w:vertAlign w:val="superscript"/>
    </w:rPr>
  </w:style>
  <w:style w:type="character" w:styleId="EndnoteReference">
    <w:name w:val="endnote reference"/>
    <w:uiPriority w:val="99"/>
    <w:rsid w:val="006F6B73"/>
    <w:rPr>
      <w:vertAlign w:val="superscript"/>
    </w:rPr>
  </w:style>
  <w:style w:type="paragraph" w:styleId="EndnoteText">
    <w:name w:val="endnote text"/>
    <w:basedOn w:val="Normal"/>
    <w:link w:val="EndnoteTextChar"/>
    <w:uiPriority w:val="99"/>
    <w:rsid w:val="006F6B73"/>
    <w:rPr>
      <w:rFonts w:eastAsia="Times New Roman"/>
    </w:rPr>
  </w:style>
  <w:style w:type="character" w:customStyle="1" w:styleId="EndnoteTextChar">
    <w:name w:val="Endnote Text Char"/>
    <w:link w:val="EndnoteText"/>
    <w:uiPriority w:val="99"/>
    <w:rsid w:val="006F6B73"/>
    <w:rPr>
      <w:rFonts w:ascii="Courier New" w:eastAsia="Times New Roman" w:hAnsi="Courier New" w:cs="Courier New"/>
      <w:sz w:val="24"/>
      <w:szCs w:val="24"/>
    </w:rPr>
  </w:style>
  <w:style w:type="paragraph" w:styleId="TOAHeading">
    <w:name w:val="toa heading"/>
    <w:basedOn w:val="Normal"/>
    <w:next w:val="Normal"/>
    <w:uiPriority w:val="99"/>
    <w:rsid w:val="006F6B73"/>
    <w:pPr>
      <w:tabs>
        <w:tab w:val="right" w:pos="9360"/>
      </w:tabs>
      <w:suppressAutoHyphens/>
      <w:spacing w:line="240" w:lineRule="atLeast"/>
    </w:pPr>
    <w:rPr>
      <w:rFonts w:eastAsia="Times New Roman"/>
    </w:rPr>
  </w:style>
  <w:style w:type="paragraph" w:styleId="NoSpacing">
    <w:name w:val="No Spacing"/>
    <w:uiPriority w:val="1"/>
    <w:qFormat/>
    <w:rsid w:val="00107997"/>
    <w:pPr>
      <w:spacing w:before="0"/>
    </w:pPr>
  </w:style>
  <w:style w:type="character" w:customStyle="1" w:styleId="Heading1Char">
    <w:name w:val="Heading 1 Char"/>
    <w:basedOn w:val="DefaultParagraphFont"/>
    <w:link w:val="Heading1"/>
    <w:uiPriority w:val="9"/>
    <w:rsid w:val="00FA0138"/>
    <w:rPr>
      <w:rFonts w:asciiTheme="majorHAnsi" w:eastAsiaTheme="majorEastAsia" w:hAnsiTheme="majorHAnsi" w:cstheme="majorBidi"/>
      <w:color w:val="2F5496" w:themeColor="accent1" w:themeShade="BF"/>
      <w:sz w:val="40"/>
      <w:szCs w:val="40"/>
    </w:rPr>
  </w:style>
  <w:style w:type="character" w:customStyle="1" w:styleId="Heading2Char">
    <w:name w:val="Heading 2 Char"/>
    <w:basedOn w:val="DefaultParagraphFont"/>
    <w:link w:val="Heading2"/>
    <w:uiPriority w:val="9"/>
    <w:semiHidden/>
    <w:rsid w:val="00FA0138"/>
    <w:rPr>
      <w:rFonts w:asciiTheme="majorHAnsi" w:eastAsiaTheme="majorEastAsia" w:hAnsiTheme="majorHAnsi" w:cstheme="majorBidi"/>
      <w:color w:val="2F5496" w:themeColor="accent1" w:themeShade="BF"/>
      <w:sz w:val="32"/>
      <w:szCs w:val="32"/>
    </w:rPr>
  </w:style>
  <w:style w:type="character" w:customStyle="1" w:styleId="Heading3Char">
    <w:name w:val="Heading 3 Char"/>
    <w:basedOn w:val="DefaultParagraphFont"/>
    <w:link w:val="Heading3"/>
    <w:uiPriority w:val="9"/>
    <w:semiHidden/>
    <w:rsid w:val="00FA0138"/>
    <w:rPr>
      <w:rFonts w:asciiTheme="minorHAnsi" w:eastAsiaTheme="majorEastAsia" w:hAnsiTheme="minorHAnsi" w:cstheme="majorBidi"/>
      <w:color w:val="2F5496" w:themeColor="accent1" w:themeShade="BF"/>
      <w:sz w:val="28"/>
      <w:szCs w:val="28"/>
    </w:rPr>
  </w:style>
  <w:style w:type="character" w:customStyle="1" w:styleId="Heading4Char">
    <w:name w:val="Heading 4 Char"/>
    <w:basedOn w:val="DefaultParagraphFont"/>
    <w:link w:val="Heading4"/>
    <w:uiPriority w:val="9"/>
    <w:semiHidden/>
    <w:rsid w:val="00FA0138"/>
    <w:rPr>
      <w:rFonts w:asciiTheme="minorHAnsi" w:eastAsiaTheme="majorEastAsia" w:hAnsiTheme="minorHAnsi" w:cstheme="majorBidi"/>
      <w:i/>
      <w:iCs/>
      <w:color w:val="2F5496" w:themeColor="accent1" w:themeShade="BF"/>
    </w:rPr>
  </w:style>
  <w:style w:type="character" w:customStyle="1" w:styleId="Heading5Char">
    <w:name w:val="Heading 5 Char"/>
    <w:basedOn w:val="DefaultParagraphFont"/>
    <w:link w:val="Heading5"/>
    <w:uiPriority w:val="9"/>
    <w:semiHidden/>
    <w:rsid w:val="00FA0138"/>
    <w:rPr>
      <w:rFonts w:asciiTheme="minorHAnsi" w:eastAsiaTheme="majorEastAsia" w:hAnsiTheme="minorHAnsi" w:cstheme="majorBidi"/>
      <w:color w:val="2F5496" w:themeColor="accent1" w:themeShade="BF"/>
    </w:rPr>
  </w:style>
  <w:style w:type="character" w:customStyle="1" w:styleId="Heading6Char">
    <w:name w:val="Heading 6 Char"/>
    <w:basedOn w:val="DefaultParagraphFont"/>
    <w:link w:val="Heading6"/>
    <w:uiPriority w:val="9"/>
    <w:semiHidden/>
    <w:rsid w:val="00FA0138"/>
    <w:rPr>
      <w:rFonts w:asciiTheme="minorHAnsi" w:eastAsiaTheme="majorEastAsia" w:hAnsiTheme="minorHAnsi" w:cstheme="majorBidi"/>
      <w:i/>
      <w:iCs/>
      <w:color w:val="595959" w:themeColor="text1" w:themeTint="A6"/>
    </w:rPr>
  </w:style>
  <w:style w:type="character" w:customStyle="1" w:styleId="Heading7Char">
    <w:name w:val="Heading 7 Char"/>
    <w:basedOn w:val="DefaultParagraphFont"/>
    <w:link w:val="Heading7"/>
    <w:uiPriority w:val="9"/>
    <w:semiHidden/>
    <w:rsid w:val="00FA0138"/>
    <w:rPr>
      <w:rFonts w:asciiTheme="minorHAnsi" w:eastAsiaTheme="majorEastAsia" w:hAnsiTheme="minorHAnsi" w:cstheme="majorBidi"/>
      <w:color w:val="595959" w:themeColor="text1" w:themeTint="A6"/>
    </w:rPr>
  </w:style>
  <w:style w:type="character" w:customStyle="1" w:styleId="Heading8Char">
    <w:name w:val="Heading 8 Char"/>
    <w:basedOn w:val="DefaultParagraphFont"/>
    <w:link w:val="Heading8"/>
    <w:uiPriority w:val="9"/>
    <w:semiHidden/>
    <w:rsid w:val="00FA0138"/>
    <w:rPr>
      <w:rFonts w:asciiTheme="minorHAnsi" w:eastAsiaTheme="majorEastAsia" w:hAnsiTheme="minorHAnsi" w:cstheme="majorBidi"/>
      <w:i/>
      <w:iCs/>
      <w:color w:val="272727" w:themeColor="text1" w:themeTint="D8"/>
    </w:rPr>
  </w:style>
  <w:style w:type="character" w:customStyle="1" w:styleId="Heading9Char">
    <w:name w:val="Heading 9 Char"/>
    <w:basedOn w:val="DefaultParagraphFont"/>
    <w:link w:val="Heading9"/>
    <w:uiPriority w:val="9"/>
    <w:semiHidden/>
    <w:rsid w:val="00FA0138"/>
    <w:rPr>
      <w:rFonts w:asciiTheme="minorHAnsi" w:eastAsiaTheme="majorEastAsia" w:hAnsiTheme="minorHAnsi" w:cstheme="majorBidi"/>
      <w:color w:val="272727" w:themeColor="text1" w:themeTint="D8"/>
    </w:rPr>
  </w:style>
  <w:style w:type="paragraph" w:styleId="Title">
    <w:name w:val="Title"/>
    <w:basedOn w:val="Normal"/>
    <w:next w:val="Normal"/>
    <w:link w:val="TitleChar"/>
    <w:uiPriority w:val="10"/>
    <w:qFormat/>
    <w:rsid w:val="00FA0138"/>
    <w:pPr>
      <w:spacing w:before="0" w:after="80"/>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FA0138"/>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FA0138"/>
    <w:pPr>
      <w:numPr>
        <w:ilvl w:val="1"/>
      </w:numPr>
      <w:spacing w:after="160"/>
    </w:pPr>
    <w:rPr>
      <w:rFonts w:asciiTheme="minorHAnsi" w:eastAsiaTheme="majorEastAsia" w:hAnsiTheme="minorHAnsi"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FA0138"/>
    <w:rPr>
      <w:rFonts w:asciiTheme="minorHAnsi" w:eastAsiaTheme="majorEastAsia" w:hAnsiTheme="minorHAnsi" w:cstheme="majorBidi"/>
      <w:color w:val="595959" w:themeColor="text1" w:themeTint="A6"/>
      <w:spacing w:val="15"/>
      <w:sz w:val="28"/>
      <w:szCs w:val="28"/>
    </w:rPr>
  </w:style>
  <w:style w:type="paragraph" w:styleId="Quote">
    <w:name w:val="Quote"/>
    <w:basedOn w:val="Normal"/>
    <w:next w:val="Normal"/>
    <w:link w:val="QuoteChar"/>
    <w:uiPriority w:val="29"/>
    <w:qFormat/>
    <w:rsid w:val="00FA0138"/>
    <w:pPr>
      <w:spacing w:before="160" w:after="160"/>
      <w:jc w:val="center"/>
    </w:pPr>
    <w:rPr>
      <w:i/>
      <w:iCs/>
      <w:color w:val="404040" w:themeColor="text1" w:themeTint="BF"/>
    </w:rPr>
  </w:style>
  <w:style w:type="character" w:customStyle="1" w:styleId="QuoteChar">
    <w:name w:val="Quote Char"/>
    <w:basedOn w:val="DefaultParagraphFont"/>
    <w:link w:val="Quote"/>
    <w:uiPriority w:val="29"/>
    <w:rsid w:val="00FA0138"/>
    <w:rPr>
      <w:i/>
      <w:iCs/>
      <w:color w:val="404040" w:themeColor="text1" w:themeTint="BF"/>
    </w:rPr>
  </w:style>
  <w:style w:type="paragraph" w:styleId="ListParagraph">
    <w:name w:val="List Paragraph"/>
    <w:basedOn w:val="Normal"/>
    <w:uiPriority w:val="34"/>
    <w:qFormat/>
    <w:rsid w:val="00FA0138"/>
    <w:pPr>
      <w:ind w:left="720"/>
      <w:contextualSpacing/>
    </w:pPr>
  </w:style>
  <w:style w:type="character" w:styleId="IntenseEmphasis">
    <w:name w:val="Intense Emphasis"/>
    <w:basedOn w:val="DefaultParagraphFont"/>
    <w:uiPriority w:val="21"/>
    <w:qFormat/>
    <w:rsid w:val="00FA0138"/>
    <w:rPr>
      <w:i/>
      <w:iCs/>
      <w:color w:val="2F5496" w:themeColor="accent1" w:themeShade="BF"/>
    </w:rPr>
  </w:style>
  <w:style w:type="paragraph" w:styleId="IntenseQuote">
    <w:name w:val="Intense Quote"/>
    <w:basedOn w:val="Normal"/>
    <w:next w:val="Normal"/>
    <w:link w:val="IntenseQuoteChar"/>
    <w:uiPriority w:val="30"/>
    <w:qFormat/>
    <w:rsid w:val="00FA0138"/>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IntenseQuoteChar">
    <w:name w:val="Intense Quote Char"/>
    <w:basedOn w:val="DefaultParagraphFont"/>
    <w:link w:val="IntenseQuote"/>
    <w:uiPriority w:val="30"/>
    <w:rsid w:val="00FA0138"/>
    <w:rPr>
      <w:i/>
      <w:iCs/>
      <w:color w:val="2F5496" w:themeColor="accent1" w:themeShade="BF"/>
    </w:rPr>
  </w:style>
  <w:style w:type="character" w:styleId="IntenseReference">
    <w:name w:val="Intense Reference"/>
    <w:basedOn w:val="DefaultParagraphFont"/>
    <w:uiPriority w:val="32"/>
    <w:qFormat/>
    <w:rsid w:val="00FA0138"/>
    <w:rPr>
      <w:b/>
      <w:bCs/>
      <w:smallCaps/>
      <w:color w:val="2F5496" w:themeColor="accent1" w:themeShade="BF"/>
      <w:spacing w:val="5"/>
    </w:rPr>
  </w:style>
  <w:style w:type="character" w:styleId="CommentReference">
    <w:name w:val="annotation reference"/>
    <w:basedOn w:val="DefaultParagraphFont"/>
    <w:uiPriority w:val="99"/>
    <w:semiHidden/>
    <w:unhideWhenUsed/>
    <w:rsid w:val="00ED3D30"/>
    <w:rPr>
      <w:sz w:val="16"/>
      <w:szCs w:val="16"/>
    </w:rPr>
  </w:style>
  <w:style w:type="paragraph" w:styleId="CommentText">
    <w:name w:val="annotation text"/>
    <w:basedOn w:val="Normal"/>
    <w:link w:val="CommentTextChar"/>
    <w:uiPriority w:val="99"/>
    <w:unhideWhenUsed/>
    <w:rsid w:val="00ED3D30"/>
    <w:rPr>
      <w:sz w:val="20"/>
      <w:szCs w:val="20"/>
    </w:rPr>
  </w:style>
  <w:style w:type="character" w:customStyle="1" w:styleId="CommentTextChar">
    <w:name w:val="Comment Text Char"/>
    <w:basedOn w:val="DefaultParagraphFont"/>
    <w:link w:val="CommentText"/>
    <w:uiPriority w:val="99"/>
    <w:rsid w:val="00ED3D30"/>
    <w:rPr>
      <w:sz w:val="20"/>
      <w:szCs w:val="20"/>
    </w:rPr>
  </w:style>
  <w:style w:type="paragraph" w:styleId="CommentSubject">
    <w:name w:val="annotation subject"/>
    <w:basedOn w:val="CommentText"/>
    <w:next w:val="CommentText"/>
    <w:link w:val="CommentSubjectChar"/>
    <w:uiPriority w:val="99"/>
    <w:semiHidden/>
    <w:unhideWhenUsed/>
    <w:rsid w:val="00ED3D30"/>
    <w:rPr>
      <w:b/>
      <w:bCs/>
    </w:rPr>
  </w:style>
  <w:style w:type="character" w:customStyle="1" w:styleId="CommentSubjectChar">
    <w:name w:val="Comment Subject Char"/>
    <w:basedOn w:val="CommentTextChar"/>
    <w:link w:val="CommentSubject"/>
    <w:uiPriority w:val="99"/>
    <w:semiHidden/>
    <w:rsid w:val="00ED3D30"/>
    <w:rPr>
      <w:b/>
      <w:bCs/>
      <w:sz w:val="20"/>
      <w:szCs w:val="20"/>
    </w:rPr>
  </w:style>
  <w:style w:type="character" w:styleId="Hyperlink">
    <w:name w:val="Hyperlink"/>
    <w:basedOn w:val="DefaultParagraphFont"/>
    <w:uiPriority w:val="99"/>
    <w:unhideWhenUsed/>
    <w:rsid w:val="001965D8"/>
    <w:rPr>
      <w:color w:val="0563C1" w:themeColor="hyperlink"/>
      <w:u w:val="single"/>
    </w:rPr>
  </w:style>
  <w:style w:type="character" w:styleId="UnresolvedMention">
    <w:name w:val="Unresolved Mention"/>
    <w:basedOn w:val="DefaultParagraphFont"/>
    <w:uiPriority w:val="99"/>
    <w:semiHidden/>
    <w:unhideWhenUsed/>
    <w:rsid w:val="001965D8"/>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60451915">
      <w:bodyDiv w:val="1"/>
      <w:marLeft w:val="0"/>
      <w:marRight w:val="0"/>
      <w:marTop w:val="0"/>
      <w:marBottom w:val="0"/>
      <w:divBdr>
        <w:top w:val="none" w:sz="0" w:space="0" w:color="auto"/>
        <w:left w:val="none" w:sz="0" w:space="0" w:color="auto"/>
        <w:bottom w:val="none" w:sz="0" w:space="0" w:color="auto"/>
        <w:right w:val="none" w:sz="0" w:space="0" w:color="auto"/>
      </w:divBdr>
    </w:div>
    <w:div w:id="546065834">
      <w:bodyDiv w:val="1"/>
      <w:marLeft w:val="0"/>
      <w:marRight w:val="0"/>
      <w:marTop w:val="0"/>
      <w:marBottom w:val="0"/>
      <w:divBdr>
        <w:top w:val="none" w:sz="0" w:space="0" w:color="auto"/>
        <w:left w:val="none" w:sz="0" w:space="0" w:color="auto"/>
        <w:bottom w:val="none" w:sz="0" w:space="0" w:color="auto"/>
        <w:right w:val="none" w:sz="0" w:space="0" w:color="auto"/>
      </w:divBdr>
      <w:divsChild>
        <w:div w:id="1298686493">
          <w:marLeft w:val="0"/>
          <w:marRight w:val="0"/>
          <w:marTop w:val="0"/>
          <w:marBottom w:val="0"/>
          <w:divBdr>
            <w:top w:val="none" w:sz="0" w:space="0" w:color="3D3D3D"/>
            <w:left w:val="none" w:sz="0" w:space="0" w:color="3D3D3D"/>
            <w:bottom w:val="none" w:sz="0" w:space="0" w:color="3D3D3D"/>
            <w:right w:val="none" w:sz="0" w:space="0" w:color="3D3D3D"/>
          </w:divBdr>
          <w:divsChild>
            <w:div w:id="191458520">
              <w:marLeft w:val="0"/>
              <w:marRight w:val="0"/>
              <w:marTop w:val="0"/>
              <w:marBottom w:val="0"/>
              <w:divBdr>
                <w:top w:val="none" w:sz="0" w:space="0" w:color="3D3D3D"/>
                <w:left w:val="none" w:sz="0" w:space="0" w:color="3D3D3D"/>
                <w:bottom w:val="none" w:sz="0" w:space="0" w:color="3D3D3D"/>
                <w:right w:val="none" w:sz="0" w:space="0" w:color="3D3D3D"/>
              </w:divBdr>
            </w:div>
          </w:divsChild>
        </w:div>
      </w:divsChild>
    </w:div>
    <w:div w:id="858465099">
      <w:bodyDiv w:val="1"/>
      <w:marLeft w:val="0"/>
      <w:marRight w:val="0"/>
      <w:marTop w:val="0"/>
      <w:marBottom w:val="0"/>
      <w:divBdr>
        <w:top w:val="none" w:sz="0" w:space="0" w:color="auto"/>
        <w:left w:val="none" w:sz="0" w:space="0" w:color="auto"/>
        <w:bottom w:val="none" w:sz="0" w:space="0" w:color="auto"/>
        <w:right w:val="none" w:sz="0" w:space="0" w:color="auto"/>
      </w:divBdr>
    </w:div>
    <w:div w:id="902761627">
      <w:bodyDiv w:val="1"/>
      <w:marLeft w:val="0"/>
      <w:marRight w:val="0"/>
      <w:marTop w:val="0"/>
      <w:marBottom w:val="0"/>
      <w:divBdr>
        <w:top w:val="none" w:sz="0" w:space="0" w:color="auto"/>
        <w:left w:val="none" w:sz="0" w:space="0" w:color="auto"/>
        <w:bottom w:val="none" w:sz="0" w:space="0" w:color="auto"/>
        <w:right w:val="none" w:sz="0" w:space="0" w:color="auto"/>
      </w:divBdr>
      <w:divsChild>
        <w:div w:id="1712488175">
          <w:marLeft w:val="0"/>
          <w:marRight w:val="0"/>
          <w:marTop w:val="0"/>
          <w:marBottom w:val="0"/>
          <w:divBdr>
            <w:top w:val="none" w:sz="0" w:space="0" w:color="3D3D3D"/>
            <w:left w:val="none" w:sz="0" w:space="0" w:color="3D3D3D"/>
            <w:bottom w:val="none" w:sz="0" w:space="0" w:color="3D3D3D"/>
            <w:right w:val="none" w:sz="0" w:space="0" w:color="3D3D3D"/>
          </w:divBdr>
          <w:divsChild>
            <w:div w:id="897088803">
              <w:marLeft w:val="0"/>
              <w:marRight w:val="0"/>
              <w:marTop w:val="0"/>
              <w:marBottom w:val="0"/>
              <w:divBdr>
                <w:top w:val="none" w:sz="0" w:space="0" w:color="3D3D3D"/>
                <w:left w:val="none" w:sz="0" w:space="0" w:color="3D3D3D"/>
                <w:bottom w:val="none" w:sz="0" w:space="0" w:color="3D3D3D"/>
                <w:right w:val="none" w:sz="0" w:space="0" w:color="3D3D3D"/>
              </w:divBdr>
            </w:div>
          </w:divsChild>
        </w:div>
      </w:divsChild>
    </w:div>
    <w:div w:id="961158357">
      <w:bodyDiv w:val="1"/>
      <w:marLeft w:val="0"/>
      <w:marRight w:val="0"/>
      <w:marTop w:val="0"/>
      <w:marBottom w:val="0"/>
      <w:divBdr>
        <w:top w:val="none" w:sz="0" w:space="0" w:color="auto"/>
        <w:left w:val="none" w:sz="0" w:space="0" w:color="auto"/>
        <w:bottom w:val="none" w:sz="0" w:space="0" w:color="auto"/>
        <w:right w:val="none" w:sz="0" w:space="0" w:color="auto"/>
      </w:divBdr>
      <w:divsChild>
        <w:div w:id="745347552">
          <w:marLeft w:val="0"/>
          <w:marRight w:val="0"/>
          <w:marTop w:val="0"/>
          <w:marBottom w:val="0"/>
          <w:divBdr>
            <w:top w:val="none" w:sz="0" w:space="0" w:color="3D3D3D"/>
            <w:left w:val="none" w:sz="0" w:space="0" w:color="3D3D3D"/>
            <w:bottom w:val="none" w:sz="0" w:space="0" w:color="3D3D3D"/>
            <w:right w:val="none" w:sz="0" w:space="0" w:color="3D3D3D"/>
          </w:divBdr>
          <w:divsChild>
            <w:div w:id="941106253">
              <w:marLeft w:val="0"/>
              <w:marRight w:val="0"/>
              <w:marTop w:val="0"/>
              <w:marBottom w:val="0"/>
              <w:divBdr>
                <w:top w:val="none" w:sz="0" w:space="0" w:color="3D3D3D"/>
                <w:left w:val="none" w:sz="0" w:space="0" w:color="3D3D3D"/>
                <w:bottom w:val="none" w:sz="0" w:space="0" w:color="3D3D3D"/>
                <w:right w:val="none" w:sz="0" w:space="0" w:color="3D3D3D"/>
              </w:divBdr>
            </w:div>
          </w:divsChild>
        </w:div>
      </w:divsChild>
    </w:div>
    <w:div w:id="1364137920">
      <w:bodyDiv w:val="1"/>
      <w:marLeft w:val="0"/>
      <w:marRight w:val="0"/>
      <w:marTop w:val="0"/>
      <w:marBottom w:val="0"/>
      <w:divBdr>
        <w:top w:val="none" w:sz="0" w:space="0" w:color="auto"/>
        <w:left w:val="none" w:sz="0" w:space="0" w:color="auto"/>
        <w:bottom w:val="none" w:sz="0" w:space="0" w:color="auto"/>
        <w:right w:val="none" w:sz="0" w:space="0" w:color="auto"/>
      </w:divBdr>
      <w:divsChild>
        <w:div w:id="1157265245">
          <w:marLeft w:val="0"/>
          <w:marRight w:val="0"/>
          <w:marTop w:val="0"/>
          <w:marBottom w:val="0"/>
          <w:divBdr>
            <w:top w:val="none" w:sz="0" w:space="0" w:color="3D3D3D"/>
            <w:left w:val="none" w:sz="0" w:space="0" w:color="3D3D3D"/>
            <w:bottom w:val="none" w:sz="0" w:space="0" w:color="3D3D3D"/>
            <w:right w:val="none" w:sz="0" w:space="0" w:color="3D3D3D"/>
          </w:divBdr>
          <w:divsChild>
            <w:div w:id="518008817">
              <w:marLeft w:val="0"/>
              <w:marRight w:val="0"/>
              <w:marTop w:val="0"/>
              <w:marBottom w:val="0"/>
              <w:divBdr>
                <w:top w:val="none" w:sz="0" w:space="0" w:color="3D3D3D"/>
                <w:left w:val="none" w:sz="0" w:space="0" w:color="3D3D3D"/>
                <w:bottom w:val="none" w:sz="0" w:space="0" w:color="3D3D3D"/>
                <w:right w:val="none" w:sz="0" w:space="0" w:color="3D3D3D"/>
              </w:divBdr>
            </w:div>
          </w:divsChild>
        </w:div>
      </w:divsChild>
    </w:div>
    <w:div w:id="1493639118">
      <w:bodyDiv w:val="1"/>
      <w:marLeft w:val="0"/>
      <w:marRight w:val="0"/>
      <w:marTop w:val="0"/>
      <w:marBottom w:val="0"/>
      <w:divBdr>
        <w:top w:val="none" w:sz="0" w:space="0" w:color="auto"/>
        <w:left w:val="none" w:sz="0" w:space="0" w:color="auto"/>
        <w:bottom w:val="none" w:sz="0" w:space="0" w:color="auto"/>
        <w:right w:val="none" w:sz="0" w:space="0" w:color="auto"/>
      </w:divBdr>
      <w:divsChild>
        <w:div w:id="1183864930">
          <w:marLeft w:val="0"/>
          <w:marRight w:val="0"/>
          <w:marTop w:val="0"/>
          <w:marBottom w:val="0"/>
          <w:divBdr>
            <w:top w:val="none" w:sz="0" w:space="0" w:color="3D3D3D"/>
            <w:left w:val="none" w:sz="0" w:space="0" w:color="3D3D3D"/>
            <w:bottom w:val="none" w:sz="0" w:space="0" w:color="3D3D3D"/>
            <w:right w:val="none" w:sz="0" w:space="0" w:color="3D3D3D"/>
          </w:divBdr>
          <w:divsChild>
            <w:div w:id="218522132">
              <w:marLeft w:val="0"/>
              <w:marRight w:val="0"/>
              <w:marTop w:val="0"/>
              <w:marBottom w:val="0"/>
              <w:divBdr>
                <w:top w:val="none" w:sz="0" w:space="0" w:color="3D3D3D"/>
                <w:left w:val="none" w:sz="0" w:space="0" w:color="3D3D3D"/>
                <w:bottom w:val="none" w:sz="0" w:space="0" w:color="3D3D3D"/>
                <w:right w:val="none" w:sz="0" w:space="0" w:color="3D3D3D"/>
              </w:divBdr>
            </w:div>
          </w:divsChild>
        </w:div>
      </w:divsChild>
    </w:div>
    <w:div w:id="2026128341">
      <w:bodyDiv w:val="1"/>
      <w:marLeft w:val="0"/>
      <w:marRight w:val="0"/>
      <w:marTop w:val="0"/>
      <w:marBottom w:val="0"/>
      <w:divBdr>
        <w:top w:val="none" w:sz="0" w:space="0" w:color="auto"/>
        <w:left w:val="none" w:sz="0" w:space="0" w:color="auto"/>
        <w:bottom w:val="none" w:sz="0" w:space="0" w:color="auto"/>
        <w:right w:val="none" w:sz="0" w:space="0" w:color="auto"/>
      </w:divBdr>
      <w:divsChild>
        <w:div w:id="1026174896">
          <w:marLeft w:val="0"/>
          <w:marRight w:val="0"/>
          <w:marTop w:val="0"/>
          <w:marBottom w:val="0"/>
          <w:divBdr>
            <w:top w:val="none" w:sz="0" w:space="0" w:color="3D3D3D"/>
            <w:left w:val="none" w:sz="0" w:space="0" w:color="3D3D3D"/>
            <w:bottom w:val="none" w:sz="0" w:space="0" w:color="3D3D3D"/>
            <w:right w:val="none" w:sz="0" w:space="0" w:color="3D3D3D"/>
          </w:divBdr>
          <w:divsChild>
            <w:div w:id="351077311">
              <w:marLeft w:val="0"/>
              <w:marRight w:val="0"/>
              <w:marTop w:val="0"/>
              <w:marBottom w:val="0"/>
              <w:divBdr>
                <w:top w:val="none" w:sz="0" w:space="0" w:color="3D3D3D"/>
                <w:left w:val="none" w:sz="0" w:space="0" w:color="3D3D3D"/>
                <w:bottom w:val="none" w:sz="0" w:space="0" w:color="3D3D3D"/>
                <w:right w:val="none" w:sz="0" w:space="0" w:color="3D3D3D"/>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98CBADB-E986-491A-AD5E-512F9F88CB2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35</TotalTime>
  <Pages>8</Pages>
  <Words>3132</Words>
  <Characters>15791</Characters>
  <Application>Microsoft Office Word</Application>
  <DocSecurity>0</DocSecurity>
  <Lines>328</Lines>
  <Paragraphs>52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18871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Bill Donnino</dc:creator>
  <cp:keywords/>
  <dc:description/>
  <cp:lastModifiedBy>Bill Donnino</cp:lastModifiedBy>
  <cp:revision>37</cp:revision>
  <cp:lastPrinted>2025-03-12T20:09:00Z</cp:lastPrinted>
  <dcterms:created xsi:type="dcterms:W3CDTF">2025-03-07T20:16:00Z</dcterms:created>
  <dcterms:modified xsi:type="dcterms:W3CDTF">2025-03-12T20:09:00Z</dcterms:modified>
</cp:coreProperties>
</file>