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F22C6" w14:textId="779DD005" w:rsidR="0071687B" w:rsidRDefault="00B96E5B" w:rsidP="00CB028B">
      <w:pPr>
        <w:jc w:val="center"/>
        <w:rPr>
          <w:rFonts w:ascii="Times New Roman" w:eastAsia="Yu Gothic UI" w:hAnsi="Times New Roman"/>
          <w:b/>
          <w:bCs/>
          <w:sz w:val="28"/>
          <w:szCs w:val="28"/>
        </w:rPr>
      </w:pPr>
      <w:r>
        <w:rPr>
          <w:rFonts w:ascii="Times New Roman" w:eastAsia="Yu Gothic UI" w:hAnsi="Times New Roman"/>
          <w:b/>
          <w:bCs/>
          <w:sz w:val="28"/>
          <w:szCs w:val="28"/>
        </w:rPr>
        <w:t>ANTOMMA</w:t>
      </w:r>
      <w:r w:rsidR="009A5CC9">
        <w:rPr>
          <w:rFonts w:ascii="Times New Roman" w:eastAsia="Yu Gothic UI" w:hAnsi="Times New Roman"/>
          <w:b/>
          <w:bCs/>
          <w:sz w:val="28"/>
          <w:szCs w:val="28"/>
        </w:rPr>
        <w:t>R</w:t>
      </w:r>
      <w:r>
        <w:rPr>
          <w:rFonts w:ascii="Times New Roman" w:eastAsia="Yu Gothic UI" w:hAnsi="Times New Roman"/>
          <w:b/>
          <w:bCs/>
          <w:sz w:val="28"/>
          <w:szCs w:val="28"/>
        </w:rPr>
        <w:t>CHI WAIVER</w:t>
      </w:r>
    </w:p>
    <w:p w14:paraId="17E0F5A6" w14:textId="77777777" w:rsidR="00B96E5B" w:rsidRPr="001C634B" w:rsidRDefault="00B96E5B" w:rsidP="001C634B">
      <w:pPr>
        <w:jc w:val="center"/>
        <w:rPr>
          <w:rFonts w:ascii="Times New Roman" w:eastAsia="Yu Gothic UI" w:hAnsi="Times New Roman"/>
          <w:b/>
          <w:bCs/>
        </w:rPr>
      </w:pPr>
    </w:p>
    <w:p w14:paraId="7D9C1C07" w14:textId="73E3FA88" w:rsidR="00192A92" w:rsidRPr="006D3EE4" w:rsidRDefault="00FB30B7" w:rsidP="009A4F20">
      <w:pPr>
        <w:widowControl/>
        <w:shd w:val="clear" w:color="auto" w:fill="FFFFFF"/>
        <w:autoSpaceDE/>
        <w:autoSpaceDN/>
        <w:adjustRightInd/>
        <w:ind w:left="432" w:right="432"/>
        <w:jc w:val="both"/>
        <w:rPr>
          <w:rFonts w:ascii="Times New Roman" w:eastAsia="Yu Gothic UI" w:hAnsi="Times New Roman"/>
          <w:i/>
          <w:iCs/>
          <w:sz w:val="22"/>
          <w:szCs w:val="22"/>
        </w:rPr>
      </w:pPr>
      <w:r w:rsidRPr="006D3EE4">
        <w:rPr>
          <w:rFonts w:ascii="Times New Roman" w:eastAsia="Yu Gothic UI" w:hAnsi="Times New Roman"/>
          <w:b/>
          <w:bCs/>
          <w:i/>
          <w:iCs/>
          <w:sz w:val="22"/>
          <w:szCs w:val="22"/>
        </w:rPr>
        <w:t>Note:</w:t>
      </w:r>
      <w:r w:rsidR="00830996" w:rsidRPr="006D3EE4">
        <w:rPr>
          <w:rFonts w:ascii="Times New Roman" w:eastAsia="Yu Gothic UI" w:hAnsi="Times New Roman"/>
          <w:i/>
          <w:iCs/>
          <w:sz w:val="22"/>
          <w:szCs w:val="22"/>
        </w:rPr>
        <w:t xml:space="preserve">.  </w:t>
      </w:r>
      <w:r w:rsidR="00903A5C" w:rsidRPr="006D3EE4">
        <w:rPr>
          <w:rFonts w:ascii="Times New Roman" w:eastAsia="Yu Gothic UI" w:hAnsi="Times New Roman"/>
          <w:i/>
          <w:iCs/>
          <w:sz w:val="22"/>
          <w:szCs w:val="22"/>
        </w:rPr>
        <w:t xml:space="preserve">The Court of Appeals has </w:t>
      </w:r>
      <w:r w:rsidR="00FF0B23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held that </w:t>
      </w:r>
      <w:r w:rsidR="00903A5C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"a lawyer may waive the </w:t>
      </w:r>
      <w:r w:rsidR="00903A5C" w:rsidRPr="006D3EE4">
        <w:rPr>
          <w:rFonts w:ascii="Times New Roman" w:hAnsi="Times New Roman"/>
          <w:i/>
          <w:iCs/>
          <w:color w:val="3D3D3D"/>
          <w:sz w:val="22"/>
          <w:szCs w:val="22"/>
          <w:bdr w:val="none" w:sz="0" w:space="0" w:color="auto" w:frame="1"/>
          <w14:ligatures w14:val="none"/>
        </w:rPr>
        <w:t>Antommarchi</w:t>
      </w:r>
      <w:r w:rsidR="00903A5C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 right of his or her client</w:t>
      </w:r>
      <w:r w:rsidR="00FF0B23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.</w:t>
      </w:r>
      <w:r w:rsidR="00903A5C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"</w:t>
      </w:r>
      <w:r w:rsidR="00903A5C" w:rsidRPr="006D3EE4">
        <w:rPr>
          <w:rFonts w:ascii="Times New Roman" w:hAnsi="Times New Roman"/>
          <w:i/>
          <w:iCs/>
          <w:color w:val="3D3D3D"/>
          <w:sz w:val="22"/>
          <w:szCs w:val="22"/>
          <w:bdr w:val="none" w:sz="0" w:space="0" w:color="auto" w:frame="1"/>
          <w14:ligatures w14:val="none"/>
        </w:rPr>
        <w:t xml:space="preserve"> People v Flinn</w:t>
      </w:r>
      <w:r w:rsidR="00903A5C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, 22 NY3d 599, 602 [2014].</w:t>
      </w:r>
      <w:r w:rsidR="00707877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 </w:t>
      </w:r>
      <w:r w:rsidR="00EC36A1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And in “accepting an Antommarchi waiver offered by defense counsel on a defendant's behalf</w:t>
      </w:r>
      <w:r w:rsidR="001A720F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,</w:t>
      </w:r>
      <w:r w:rsidR="00EC36A1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” the Court</w:t>
      </w:r>
      <w:r w:rsidR="001A720F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,</w:t>
      </w:r>
      <w:r w:rsidR="00EC36A1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 in</w:t>
      </w:r>
      <w:r w:rsidR="00903A5C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 </w:t>
      </w:r>
      <w:r w:rsidR="00707877" w:rsidRPr="006D3EE4">
        <w:rPr>
          <w:rFonts w:ascii="Times New Roman" w:hAnsi="Times New Roman"/>
          <w:i/>
          <w:iCs/>
          <w:color w:val="3D3D3D"/>
          <w:sz w:val="22"/>
          <w:szCs w:val="22"/>
          <w:bdr w:val="none" w:sz="0" w:space="0" w:color="auto" w:frame="1"/>
        </w:rPr>
        <w:t>People v Velasquez</w:t>
      </w:r>
      <w:r w:rsidR="00707877" w:rsidRPr="006D3EE4">
        <w:rPr>
          <w:rFonts w:ascii="Times New Roman" w:hAnsi="Times New Roman"/>
          <w:i/>
          <w:iCs/>
          <w:sz w:val="22"/>
          <w:szCs w:val="22"/>
        </w:rPr>
        <w:t>, 1 NY3d 44, 49 [2003</w:t>
      </w:r>
      <w:r w:rsidR="00EC36A1" w:rsidRPr="006D3EE4">
        <w:rPr>
          <w:rFonts w:ascii="Times New Roman" w:hAnsi="Times New Roman"/>
          <w:i/>
          <w:iCs/>
          <w:sz w:val="22"/>
          <w:szCs w:val="22"/>
        </w:rPr>
        <w:t xml:space="preserve">], </w:t>
      </w:r>
      <w:r w:rsidR="001A720F" w:rsidRPr="006D3EE4">
        <w:rPr>
          <w:rFonts w:ascii="Times New Roman" w:hAnsi="Times New Roman"/>
          <w:i/>
          <w:iCs/>
          <w:sz w:val="22"/>
          <w:szCs w:val="22"/>
        </w:rPr>
        <w:t>added that “</w:t>
      </w:r>
      <w:r w:rsidR="00864EB0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a trial court need not engage the defendant in an on-the-record colloquy to ensure the requisite voluntary, knowing and intelligent nature of the waiver</w:t>
      </w:r>
      <w:r w:rsidR="001A720F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>.”</w:t>
      </w:r>
      <w:r w:rsidR="004F42E2" w:rsidRPr="006D3EE4">
        <w:rPr>
          <w:rFonts w:ascii="Times New Roman" w:hAnsi="Times New Roman"/>
          <w:i/>
          <w:iCs/>
          <w:color w:val="000000"/>
          <w:sz w:val="22"/>
          <w:szCs w:val="22"/>
          <w14:ligatures w14:val="none"/>
        </w:rPr>
        <w:t xml:space="preserve"> Thus, w</w:t>
      </w:r>
      <w:r w:rsidR="004F42E2" w:rsidRPr="006D3EE4">
        <w:rPr>
          <w:rFonts w:ascii="Times New Roman" w:eastAsia="Yu Gothic UI" w:hAnsi="Times New Roman"/>
          <w:i/>
          <w:iCs/>
          <w:sz w:val="22"/>
          <w:szCs w:val="22"/>
        </w:rPr>
        <w:t>hether to engage in the following colloquy or part thereof is in the sound discretion of the trial judge. The following is recommended for those trial judges who do so.</w:t>
      </w:r>
    </w:p>
    <w:p w14:paraId="7AC42F76" w14:textId="77777777" w:rsidR="004A1AC3" w:rsidRPr="006D3EE4" w:rsidRDefault="004A1AC3" w:rsidP="001C634B">
      <w:pPr>
        <w:widowControl/>
        <w:shd w:val="clear" w:color="auto" w:fill="FFFFFF"/>
        <w:autoSpaceDE/>
        <w:autoSpaceDN/>
        <w:adjustRightInd/>
        <w:ind w:left="720" w:right="720"/>
        <w:jc w:val="both"/>
        <w:rPr>
          <w:rFonts w:ascii="Times New Roman" w:eastAsia="Yu Gothic UI" w:hAnsi="Times New Roman"/>
          <w:i/>
          <w:iCs/>
          <w:sz w:val="22"/>
          <w:szCs w:val="22"/>
        </w:rPr>
      </w:pPr>
    </w:p>
    <w:p w14:paraId="5C5D7467" w14:textId="63C93B03" w:rsidR="00B82678" w:rsidRPr="006D3EE4" w:rsidRDefault="004A1AC3" w:rsidP="00377111">
      <w:pPr>
        <w:snapToGrid w:val="0"/>
        <w:ind w:left="720" w:right="720"/>
        <w:jc w:val="both"/>
        <w:rPr>
          <w:rFonts w:ascii="Times New Roman" w:hAnsi="Times New Roman"/>
          <w:i/>
          <w:iCs/>
          <w:sz w:val="22"/>
          <w:szCs w:val="22"/>
          <w14:ligatures w14:val="none"/>
        </w:rPr>
      </w:pPr>
      <w:r w:rsidRPr="006D3EE4">
        <w:rPr>
          <w:rFonts w:ascii="Times New Roman" w:eastAsia="Yu Gothic UI" w:hAnsi="Times New Roman"/>
          <w:i/>
          <w:iCs/>
          <w:sz w:val="22"/>
          <w:szCs w:val="22"/>
        </w:rPr>
        <w:t>It should be noted that a</w:t>
      </w:r>
      <w:r w:rsidRPr="006D3EE4">
        <w:rPr>
          <w:rFonts w:ascii="Times New Roman" w:hAnsi="Times New Roman"/>
          <w:i/>
          <w:iCs/>
          <w:sz w:val="22"/>
          <w:szCs w:val="22"/>
        </w:rPr>
        <w:t>n Antommarchi waiver does not constitute a waiver of the defendant’s presence at a sidebar</w:t>
      </w:r>
      <w:r w:rsidR="000123F9" w:rsidRPr="006D3EE4">
        <w:rPr>
          <w:rFonts w:ascii="Times New Roman" w:hAnsi="Times New Roman"/>
          <w:i/>
          <w:iCs/>
          <w:sz w:val="22"/>
          <w:szCs w:val="22"/>
        </w:rPr>
        <w:t xml:space="preserve"> (or its equivalent)</w:t>
      </w:r>
      <w:r w:rsidRPr="006D3EE4">
        <w:rPr>
          <w:rFonts w:ascii="Times New Roman" w:hAnsi="Times New Roman"/>
          <w:i/>
          <w:iCs/>
          <w:sz w:val="22"/>
          <w:szCs w:val="22"/>
        </w:rPr>
        <w:t xml:space="preserve"> during the trial should that sidebar discuss an issue that requires the defendant’s presence. </w:t>
      </w:r>
      <w:r w:rsidR="0045780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A</w:t>
      </w:r>
      <w:r w:rsidR="0005748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defendant has a right to be present during a particular proceeding, </w:t>
      </w:r>
      <w:r w:rsidR="0045780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when there is</w:t>
      </w:r>
      <w:r w:rsidR="0005748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="0045780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“</w:t>
      </w:r>
      <w:r w:rsidR="0005748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the potential for the defendant to meaningfully participate in the subject discussions”</w:t>
      </w:r>
      <w:r w:rsidR="00EA1F3F" w:rsidRPr="006D3EE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A3370" w:rsidRPr="006D3EE4">
        <w:rPr>
          <w:rFonts w:ascii="Times New Roman" w:hAnsi="Times New Roman"/>
          <w:i/>
          <w:iCs/>
          <w:sz w:val="22"/>
          <w:szCs w:val="22"/>
          <w:bdr w:val="none" w:sz="0" w:space="0" w:color="auto" w:frame="1"/>
          <w14:ligatures w14:val="none"/>
        </w:rPr>
        <w:t>People v Fabricio</w:t>
      </w:r>
      <w:r w:rsidR="003A337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, 3 NY3d 402, 40</w:t>
      </w:r>
      <w:r w:rsidR="00FE282C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6</w:t>
      </w:r>
      <w:r w:rsidR="000A4D5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="00D40C3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[</w:t>
      </w:r>
      <w:r w:rsidR="003A337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2004</w:t>
      </w:r>
      <w:r w:rsidR="00D40C3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]</w:t>
      </w:r>
      <w:r w:rsidR="00216B86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.  Compare Fabricio </w:t>
      </w:r>
      <w:r w:rsidR="00B6216C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and</w:t>
      </w:r>
      <w:r w:rsidR="00B6216C" w:rsidRPr="006D3EE4">
        <w:rPr>
          <w:rFonts w:ascii="Times New Roman" w:hAnsi="Times New Roman"/>
          <w:i/>
          <w:iCs/>
          <w:sz w:val="22"/>
          <w:szCs w:val="22"/>
          <w:lang w:val="x-none"/>
        </w:rPr>
        <w:t xml:space="preserve"> People v. Rodriguez, 85 N.Y.2d 586 </w:t>
      </w:r>
      <w:r w:rsidR="00D40C30" w:rsidRPr="006D3EE4">
        <w:rPr>
          <w:rFonts w:ascii="Times New Roman" w:hAnsi="Times New Roman"/>
          <w:i/>
          <w:iCs/>
          <w:sz w:val="22"/>
          <w:szCs w:val="22"/>
          <w:lang w:val="x-none"/>
        </w:rPr>
        <w:t>[</w:t>
      </w:r>
      <w:r w:rsidR="00B6216C" w:rsidRPr="006D3EE4">
        <w:rPr>
          <w:rFonts w:ascii="Times New Roman" w:hAnsi="Times New Roman"/>
          <w:i/>
          <w:iCs/>
          <w:sz w:val="22"/>
          <w:szCs w:val="22"/>
          <w:lang w:val="x-none"/>
        </w:rPr>
        <w:t>1995</w:t>
      </w:r>
      <w:r w:rsidR="00D40C30" w:rsidRPr="006D3EE4">
        <w:rPr>
          <w:rFonts w:ascii="Times New Roman" w:hAnsi="Times New Roman"/>
          <w:i/>
          <w:iCs/>
          <w:sz w:val="22"/>
          <w:szCs w:val="22"/>
          <w:lang w:val="x-none"/>
        </w:rPr>
        <w:t>]</w:t>
      </w:r>
      <w:r w:rsidR="00B6216C" w:rsidRPr="006D3EE4">
        <w:rPr>
          <w:rFonts w:ascii="Times New Roman" w:hAnsi="Times New Roman"/>
          <w:i/>
          <w:iCs/>
          <w:sz w:val="22"/>
          <w:szCs w:val="22"/>
          <w:lang w:val="x-none"/>
        </w:rPr>
        <w:t xml:space="preserve"> (The defendant’s presence was not required at a sidebar conference to discuss a legal question)</w:t>
      </w:r>
      <w:r w:rsidR="00216B86" w:rsidRPr="006D3EE4">
        <w:rPr>
          <w:rFonts w:ascii="Times New Roman" w:hAnsi="Times New Roman"/>
          <w:i/>
          <w:iCs/>
          <w:sz w:val="22"/>
          <w:szCs w:val="22"/>
          <w:lang w:val="x-none"/>
        </w:rPr>
        <w:t xml:space="preserve"> with </w:t>
      </w:r>
      <w:r w:rsidR="008E054B" w:rsidRPr="006D3EE4">
        <w:rPr>
          <w:rFonts w:ascii="Times New Roman" w:hAnsi="Times New Roman"/>
          <w:i/>
          <w:iCs/>
          <w:sz w:val="22"/>
          <w:szCs w:val="22"/>
          <w:bdr w:val="none" w:sz="0" w:space="0" w:color="auto" w:frame="1"/>
          <w14:ligatures w14:val="none"/>
        </w:rPr>
        <w:t>People v Spotford</w:t>
      </w:r>
      <w:r w:rsidR="008E054B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, 85 NY2d 593, 596 </w:t>
      </w:r>
      <w:r w:rsidR="00D40C3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[</w:t>
      </w:r>
      <w:r w:rsidR="008E054B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1995</w:t>
      </w:r>
      <w:r w:rsidR="00D40C3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]</w:t>
      </w:r>
      <w:r w:rsidR="00B11AF5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(whether to admit evidence per Molineux required the defendant’s presence);</w:t>
      </w:r>
      <w:r w:rsidR="00B11AF5" w:rsidRPr="006D3EE4">
        <w:rPr>
          <w:rFonts w:ascii="Times New Roman" w:hAnsi="Times New Roman"/>
          <w:i/>
          <w:iCs/>
          <w:noProof/>
          <w:sz w:val="22"/>
          <w:szCs w:val="22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8E054B" w:rsidRPr="006D3EE4">
        <w:rPr>
          <w:rFonts w:ascii="Times New Roman" w:hAnsi="Times New Roman"/>
          <w:i/>
          <w:iCs/>
          <w:sz w:val="22"/>
          <w:szCs w:val="22"/>
          <w:bdr w:val="none" w:sz="0" w:space="0" w:color="auto" w:frame="1"/>
          <w14:ligatures w14:val="none"/>
        </w:rPr>
        <w:t>People v Dokes</w:t>
      </w:r>
      <w:r w:rsidR="008E054B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, 79 NY2d 656, 661 [1992</w:t>
      </w:r>
      <w:r w:rsidR="00B11AF5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) (</w:t>
      </w:r>
      <w:r w:rsidR="00AE3F4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whether to permit cross</w:t>
      </w:r>
      <w:r w:rsidR="004F6D3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-</w:t>
      </w:r>
      <w:r w:rsidR="00AE3F4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examination of the defendant for prior bad acts or convictions required the defendant’s presence</w:t>
      </w:r>
      <w:r w:rsidR="00697E3A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)</w:t>
      </w:r>
      <w:r w:rsidR="009A4F2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, and</w:t>
      </w:r>
      <w:r w:rsidR="00341443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="00B82678" w:rsidRPr="006D3EE4">
        <w:rPr>
          <w:rFonts w:ascii="Times New Roman" w:hAnsi="Times New Roman"/>
          <w:i/>
          <w:iCs/>
          <w:sz w:val="22"/>
          <w:szCs w:val="22"/>
          <w:bdr w:val="none" w:sz="0" w:space="0" w:color="auto" w:frame="1"/>
          <w14:ligatures w14:val="none"/>
        </w:rPr>
        <w:t>People v Douglas</w:t>
      </w:r>
      <w:r w:rsidR="00B8267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, 29 AD3d 47, 52 </w:t>
      </w:r>
      <w:r w:rsidR="00D40C3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[</w:t>
      </w:r>
      <w:r w:rsidR="00B8267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1st Dept 2006</w:t>
      </w:r>
      <w:r w:rsidR="00D40C3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]</w:t>
      </w:r>
      <w:r w:rsidR="00940AAA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(a</w:t>
      </w:r>
      <w:r w:rsidR="000123F9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="00940AAA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robing room conference to</w:t>
      </w:r>
      <w:r w:rsidR="009A4F20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discuss a</w:t>
      </w:r>
      <w:r w:rsidR="00940AAA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justification defense “</w:t>
      </w:r>
      <w:r w:rsidR="00B8267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clearly implicated defendant's peculiar factual knowledge such that his participation might have assisted him in advancing his justification defense to the murder and assault counts."</w:t>
      </w:r>
      <w:r w:rsidR="00940AAA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)</w:t>
      </w:r>
      <w:r w:rsidR="000123F9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.</w:t>
      </w:r>
      <w:r w:rsidR="000578D2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If required, a</w:t>
      </w:r>
      <w:r w:rsidR="000123F9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defendant’s presence at a sidebar may be waived.</w:t>
      </w:r>
      <w:r w:rsidR="00394688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="001F62A4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E.g. </w:t>
      </w:r>
      <w:r w:rsidR="005F78AD" w:rsidRPr="006D3EE4">
        <w:rPr>
          <w:rFonts w:ascii="Times New Roman" w:hAnsi="Times New Roman"/>
          <w:i/>
          <w:iCs/>
          <w:sz w:val="22"/>
          <w:szCs w:val="22"/>
          <w:bdr w:val="none" w:sz="0" w:space="0" w:color="auto" w:frame="1"/>
          <w14:ligatures w14:val="none"/>
        </w:rPr>
        <w:t>Spofford</w:t>
      </w:r>
      <w:r w:rsidR="001F62A4" w:rsidRPr="006D3EE4">
        <w:rPr>
          <w:rFonts w:ascii="Times New Roman" w:hAnsi="Times New Roman"/>
          <w:i/>
          <w:iCs/>
          <w:sz w:val="22"/>
          <w:szCs w:val="22"/>
          <w14:ligatures w14:val="none"/>
        </w:rPr>
        <w:t>, 85 NY2d at 597.</w:t>
      </w:r>
    </w:p>
    <w:p w14:paraId="2B00BBC9" w14:textId="7DC4EFEE" w:rsidR="000123F9" w:rsidRPr="009A4F20" w:rsidRDefault="00CA5DB9" w:rsidP="00CA5DB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i/>
          <w:iCs/>
          <w:color w:val="00B050"/>
          <w14:ligatures w14:val="none"/>
        </w:rPr>
      </w:pPr>
      <w:r>
        <w:rPr>
          <w:rFonts w:ascii="Times New Roman" w:hAnsi="Times New Roman"/>
          <w:color w:val="000000"/>
          <w14:ligatures w14:val="none"/>
        </w:rPr>
        <w:t>______________</w:t>
      </w:r>
      <w:r w:rsidR="001F62A4" w:rsidRPr="001F62A4">
        <w:rPr>
          <w:rFonts w:ascii="Times New Roman" w:hAnsi="Times New Roman"/>
          <w:color w:val="000000"/>
          <w14:ligatures w14:val="none"/>
        </w:rPr>
        <w:br/>
      </w:r>
    </w:p>
    <w:p w14:paraId="3213BB09" w14:textId="77777777" w:rsidR="00A15E40" w:rsidRPr="00BA0425" w:rsidRDefault="00A15E40" w:rsidP="00CB0356">
      <w:pPr>
        <w:jc w:val="both"/>
        <w:rPr>
          <w:rFonts w:ascii="Times New Roman" w:eastAsia="Yu Gothic UI" w:hAnsi="Times New Roman"/>
          <w:b/>
          <w:bCs/>
          <w:sz w:val="28"/>
          <w:szCs w:val="28"/>
        </w:rPr>
      </w:pPr>
      <w:r w:rsidRPr="00BA0425">
        <w:rPr>
          <w:rFonts w:ascii="Times New Roman" w:eastAsia="Yu Gothic UI" w:hAnsi="Times New Roman"/>
          <w:b/>
          <w:bCs/>
          <w:sz w:val="28"/>
          <w:szCs w:val="28"/>
        </w:rPr>
        <w:t>To the defendant:</w:t>
      </w:r>
    </w:p>
    <w:p w14:paraId="701C5794" w14:textId="77777777" w:rsidR="00A15E40" w:rsidRPr="00BA0425" w:rsidRDefault="00A15E40" w:rsidP="00CB0356">
      <w:pPr>
        <w:jc w:val="both"/>
        <w:rPr>
          <w:rFonts w:ascii="Times New Roman" w:eastAsia="Yu Gothic UI" w:hAnsi="Times New Roman"/>
          <w:sz w:val="28"/>
          <w:szCs w:val="28"/>
        </w:rPr>
      </w:pPr>
    </w:p>
    <w:p w14:paraId="55EAB857" w14:textId="58EDCDFC" w:rsidR="004C5E96" w:rsidRDefault="00A15E40" w:rsidP="00814472">
      <w:pPr>
        <w:widowControl/>
        <w:snapToGrid w:val="0"/>
        <w:jc w:val="both"/>
        <w:rPr>
          <w:rFonts w:ascii="Times New Roman" w:eastAsia="Yu Gothic UI" w:hAnsi="Times New Roman"/>
          <w:sz w:val="28"/>
          <w:szCs w:val="28"/>
        </w:rPr>
      </w:pPr>
      <w:r w:rsidRPr="00BA0425">
        <w:rPr>
          <w:rFonts w:ascii="Times New Roman" w:eastAsia="Yu Gothic UI" w:hAnsi="Times New Roman"/>
          <w:sz w:val="28"/>
          <w:szCs w:val="28"/>
        </w:rPr>
        <w:t xml:space="preserve">You have the right to be present </w:t>
      </w:r>
      <w:r w:rsidR="0076451C">
        <w:rPr>
          <w:rFonts w:ascii="Times New Roman" w:eastAsia="Yu Gothic UI" w:hAnsi="Times New Roman"/>
          <w:sz w:val="28"/>
          <w:szCs w:val="28"/>
        </w:rPr>
        <w:t>when the Court and the lawyers</w:t>
      </w:r>
      <w:r w:rsidR="008126F9">
        <w:rPr>
          <w:rFonts w:ascii="Times New Roman" w:eastAsia="Yu Gothic UI" w:hAnsi="Times New Roman"/>
          <w:sz w:val="28"/>
          <w:szCs w:val="28"/>
        </w:rPr>
        <w:t xml:space="preserve"> question </w:t>
      </w:r>
      <w:r w:rsidRPr="00BA0425">
        <w:rPr>
          <w:rFonts w:ascii="Times New Roman" w:eastAsia="Yu Gothic UI" w:hAnsi="Times New Roman"/>
          <w:sz w:val="28"/>
          <w:szCs w:val="28"/>
        </w:rPr>
        <w:t xml:space="preserve">prospective jurors </w:t>
      </w:r>
      <w:r w:rsidR="005E5417">
        <w:rPr>
          <w:rFonts w:ascii="Times New Roman" w:eastAsia="Yu Gothic UI" w:hAnsi="Times New Roman"/>
          <w:sz w:val="28"/>
          <w:szCs w:val="28"/>
        </w:rPr>
        <w:t>about</w:t>
      </w:r>
      <w:r w:rsidRPr="00BA0425">
        <w:rPr>
          <w:rFonts w:ascii="Times New Roman" w:eastAsia="Yu Gothic UI" w:hAnsi="Times New Roman"/>
          <w:sz w:val="28"/>
          <w:szCs w:val="28"/>
        </w:rPr>
        <w:t xml:space="preserve"> </w:t>
      </w:r>
      <w:r w:rsidR="008126F9">
        <w:rPr>
          <w:rFonts w:ascii="Times New Roman" w:eastAsia="Yu Gothic UI" w:hAnsi="Times New Roman"/>
          <w:sz w:val="28"/>
          <w:szCs w:val="28"/>
        </w:rPr>
        <w:t>any</w:t>
      </w:r>
      <w:r w:rsidR="005E5417" w:rsidRPr="005E5417">
        <w:rPr>
          <w:rFonts w:ascii="Times New Roman" w:hAnsi="Times New Roman"/>
          <w:color w:val="000000"/>
          <w:sz w:val="28"/>
          <w:szCs w:val="28"/>
          <w:lang w:val="x-none"/>
        </w:rPr>
        <w:t xml:space="preserve"> bias, hostility</w:t>
      </w:r>
      <w:r w:rsidR="005E5417">
        <w:rPr>
          <w:rFonts w:ascii="Times New Roman" w:hAnsi="Times New Roman"/>
          <w:color w:val="000000"/>
          <w:sz w:val="28"/>
          <w:szCs w:val="28"/>
        </w:rPr>
        <w:t>,</w:t>
      </w:r>
      <w:r w:rsidR="005E5417" w:rsidRPr="005E5417">
        <w:rPr>
          <w:rFonts w:ascii="Times New Roman" w:hAnsi="Times New Roman"/>
          <w:color w:val="000000"/>
          <w:sz w:val="28"/>
          <w:szCs w:val="28"/>
          <w:lang w:val="x-none"/>
        </w:rPr>
        <w:t xml:space="preserve"> or predisposition</w:t>
      </w:r>
      <w:r w:rsidR="008D6898">
        <w:rPr>
          <w:rFonts w:ascii="Times New Roman" w:hAnsi="Times New Roman"/>
          <w:color w:val="000000"/>
          <w:sz w:val="28"/>
          <w:szCs w:val="28"/>
          <w:lang w:val="x-none"/>
        </w:rPr>
        <w:t xml:space="preserve"> they may have</w:t>
      </w:r>
      <w:r w:rsidR="005E5417" w:rsidRPr="005E5417">
        <w:rPr>
          <w:rFonts w:ascii="Times New Roman" w:hAnsi="Times New Roman"/>
          <w:color w:val="000000"/>
          <w:sz w:val="28"/>
          <w:szCs w:val="28"/>
          <w:lang w:val="x-none"/>
        </w:rPr>
        <w:t xml:space="preserve"> to believe or</w:t>
      </w:r>
      <w:r w:rsidR="005E5417" w:rsidRPr="005E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417" w:rsidRPr="005E5417">
        <w:rPr>
          <w:rFonts w:ascii="Times New Roman" w:hAnsi="Times New Roman"/>
          <w:color w:val="000000"/>
          <w:sz w:val="28"/>
          <w:szCs w:val="28"/>
          <w:lang w:val="x-none"/>
        </w:rPr>
        <w:t>dis</w:t>
      </w:r>
      <w:r w:rsidR="002B1331">
        <w:rPr>
          <w:rFonts w:ascii="Times New Roman" w:hAnsi="Times New Roman"/>
          <w:color w:val="000000"/>
          <w:sz w:val="28"/>
          <w:szCs w:val="28"/>
          <w:lang w:val="x-none"/>
        </w:rPr>
        <w:t>believe</w:t>
      </w:r>
      <w:r w:rsidR="005E5417" w:rsidRPr="005E5417">
        <w:rPr>
          <w:rFonts w:ascii="Times New Roman" w:hAnsi="Times New Roman"/>
          <w:color w:val="000000"/>
          <w:sz w:val="28"/>
          <w:szCs w:val="28"/>
          <w:lang w:val="x-none"/>
        </w:rPr>
        <w:t xml:space="preserve"> the testimony of potential witnesses</w:t>
      </w:r>
      <w:r w:rsidR="003111BA">
        <w:rPr>
          <w:rFonts w:ascii="Times New Roman" w:hAnsi="Times New Roman"/>
          <w:color w:val="000000"/>
          <w:sz w:val="28"/>
          <w:szCs w:val="28"/>
        </w:rPr>
        <w:t>.</w:t>
      </w:r>
      <w:r w:rsidR="007470F0">
        <w:rPr>
          <w:rFonts w:ascii="Times New Roman" w:eastAsia="Yu Gothic UI" w:hAnsi="Times New Roman"/>
          <w:sz w:val="28"/>
          <w:szCs w:val="28"/>
        </w:rPr>
        <w:t xml:space="preserve"> </w:t>
      </w:r>
      <w:r w:rsidR="007470F0">
        <w:rPr>
          <w:rStyle w:val="EndnoteReference"/>
          <w:rFonts w:ascii="Times New Roman" w:eastAsia="Yu Gothic UI" w:hAnsi="Times New Roman"/>
          <w:sz w:val="28"/>
          <w:szCs w:val="28"/>
        </w:rPr>
        <w:endnoteReference w:id="1"/>
      </w:r>
    </w:p>
    <w:p w14:paraId="108B328A" w14:textId="77777777" w:rsidR="00DE19FB" w:rsidRDefault="00DE19FB" w:rsidP="00814472">
      <w:pPr>
        <w:widowControl/>
        <w:snapToGrid w:val="0"/>
        <w:jc w:val="both"/>
        <w:rPr>
          <w:rFonts w:ascii="Times New Roman" w:eastAsia="Yu Gothic UI" w:hAnsi="Times New Roman"/>
          <w:sz w:val="28"/>
          <w:szCs w:val="28"/>
        </w:rPr>
      </w:pPr>
    </w:p>
    <w:p w14:paraId="7D6B0879" w14:textId="557CF3CE" w:rsidR="00DE19FB" w:rsidRDefault="00DE19FB" w:rsidP="00814472">
      <w:pPr>
        <w:widowControl/>
        <w:snapToGrid w:val="0"/>
        <w:jc w:val="both"/>
        <w:rPr>
          <w:rFonts w:ascii="Times New Roman" w:eastAsia="Yu Gothic UI" w:hAnsi="Times New Roman"/>
          <w:sz w:val="28"/>
          <w:szCs w:val="28"/>
        </w:rPr>
      </w:pPr>
      <w:r>
        <w:rPr>
          <w:rFonts w:ascii="Times New Roman" w:eastAsia="Yu Gothic UI" w:hAnsi="Times New Roman"/>
          <w:sz w:val="28"/>
          <w:szCs w:val="28"/>
        </w:rPr>
        <w:t xml:space="preserve">You may waive that right to </w:t>
      </w:r>
      <w:r w:rsidR="001510F1">
        <w:rPr>
          <w:rFonts w:ascii="Times New Roman" w:eastAsia="Yu Gothic UI" w:hAnsi="Times New Roman"/>
          <w:sz w:val="28"/>
          <w:szCs w:val="28"/>
        </w:rPr>
        <w:t xml:space="preserve">be </w:t>
      </w:r>
      <w:r>
        <w:rPr>
          <w:rFonts w:ascii="Times New Roman" w:eastAsia="Yu Gothic UI" w:hAnsi="Times New Roman"/>
          <w:sz w:val="28"/>
          <w:szCs w:val="28"/>
        </w:rPr>
        <w:t>present at the questioning of the prospective jurors.</w:t>
      </w:r>
    </w:p>
    <w:p w14:paraId="5B0556B0" w14:textId="77777777" w:rsidR="00DE19FB" w:rsidRDefault="00DE19FB" w:rsidP="00814472">
      <w:pPr>
        <w:widowControl/>
        <w:snapToGrid w:val="0"/>
        <w:jc w:val="both"/>
        <w:rPr>
          <w:rFonts w:ascii="Times New Roman" w:eastAsia="Yu Gothic UI" w:hAnsi="Times New Roman"/>
          <w:sz w:val="28"/>
          <w:szCs w:val="28"/>
        </w:rPr>
      </w:pPr>
    </w:p>
    <w:p w14:paraId="59903ABD" w14:textId="6412E5E9" w:rsidR="00404ED7" w:rsidRDefault="00404ED7" w:rsidP="006D1CC3">
      <w:pPr>
        <w:widowControl/>
        <w:snapToGrid w:val="0"/>
        <w:rPr>
          <w:rFonts w:ascii="Times New Roman" w:hAnsi="Times New Roman"/>
          <w:color w:val="000000"/>
          <w:sz w:val="28"/>
          <w:szCs w:val="28"/>
        </w:rPr>
      </w:pPr>
      <w:r w:rsidRPr="00404ED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Include </w:t>
      </w:r>
      <w:r w:rsidR="0087215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as</w:t>
      </w:r>
      <w:r w:rsidRPr="00404ED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applicable:</w:t>
      </w:r>
    </w:p>
    <w:p w14:paraId="7595D3D5" w14:textId="77777777" w:rsidR="009A4F20" w:rsidRPr="00670D81" w:rsidRDefault="009A4F20" w:rsidP="006D1CC3">
      <w:pPr>
        <w:widowControl/>
        <w:snapToGrid w:val="0"/>
        <w:rPr>
          <w:rFonts w:ascii="Times New Roman" w:hAnsi="Times New Roman"/>
          <w:sz w:val="28"/>
          <w:szCs w:val="28"/>
        </w:rPr>
      </w:pPr>
    </w:p>
    <w:p w14:paraId="53A4A9CA" w14:textId="6E314767" w:rsidR="00971DAB" w:rsidRPr="00670D81" w:rsidRDefault="00DA026E" w:rsidP="00BA2B5C">
      <w:pPr>
        <w:widowControl/>
        <w:snapToGrid w:val="0"/>
        <w:ind w:left="720"/>
        <w:jc w:val="both"/>
        <w:rPr>
          <w:rFonts w:ascii="Times New Roman" w:eastAsia="Yu Gothic UI" w:hAnsi="Times New Roman"/>
          <w:sz w:val="28"/>
          <w:szCs w:val="28"/>
        </w:rPr>
      </w:pPr>
      <w:r w:rsidRPr="00670D81">
        <w:rPr>
          <w:rFonts w:ascii="Times New Roman" w:eastAsia="Yu Gothic UI" w:hAnsi="Times New Roman"/>
          <w:sz w:val="28"/>
          <w:szCs w:val="28"/>
        </w:rPr>
        <w:t>If you do not waive the right to be present, t</w:t>
      </w:r>
      <w:r w:rsidR="00D54ABA" w:rsidRPr="00670D81">
        <w:rPr>
          <w:rFonts w:ascii="Times New Roman" w:eastAsia="Yu Gothic UI" w:hAnsi="Times New Roman"/>
          <w:sz w:val="28"/>
          <w:szCs w:val="28"/>
        </w:rPr>
        <w:t>he</w:t>
      </w:r>
      <w:r w:rsidR="004B00F4" w:rsidRPr="00670D81">
        <w:rPr>
          <w:rFonts w:ascii="Times New Roman" w:eastAsia="Yu Gothic UI" w:hAnsi="Times New Roman"/>
          <w:sz w:val="28"/>
          <w:szCs w:val="28"/>
        </w:rPr>
        <w:t xml:space="preserve"> questioning of the jurors shall </w:t>
      </w:r>
      <w:r w:rsidR="00E16245" w:rsidRPr="00670D81">
        <w:rPr>
          <w:rFonts w:ascii="Times New Roman" w:eastAsia="Yu Gothic UI" w:hAnsi="Times New Roman"/>
          <w:sz w:val="28"/>
          <w:szCs w:val="28"/>
        </w:rPr>
        <w:t xml:space="preserve">take place </w:t>
      </w:r>
      <w:r w:rsidR="00A15BA3" w:rsidRPr="00670D81">
        <w:rPr>
          <w:rFonts w:ascii="Times New Roman" w:eastAsia="Yu Gothic UI" w:hAnsi="Times New Roman"/>
          <w:sz w:val="28"/>
          <w:szCs w:val="28"/>
        </w:rPr>
        <w:t xml:space="preserve">in your presence </w:t>
      </w:r>
      <w:r w:rsidR="00DA11BA" w:rsidRPr="00670D81">
        <w:rPr>
          <w:rFonts w:ascii="Times New Roman" w:eastAsia="Yu Gothic UI" w:hAnsi="Times New Roman"/>
          <w:sz w:val="28"/>
          <w:szCs w:val="28"/>
        </w:rPr>
        <w:t>[</w:t>
      </w:r>
      <w:r w:rsidR="00DA289A"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 xml:space="preserve">and </w:t>
      </w:r>
      <w:r w:rsidR="00640B95"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>specify</w:t>
      </w:r>
      <w:r w:rsidR="0097492D"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 xml:space="preserve"> the location</w:t>
      </w:r>
      <w:r w:rsidR="0097492D" w:rsidRPr="00670D81">
        <w:rPr>
          <w:rFonts w:ascii="Times New Roman" w:eastAsia="Yu Gothic UI" w:hAnsi="Times New Roman"/>
          <w:sz w:val="28"/>
          <w:szCs w:val="28"/>
          <w:u w:val="single"/>
        </w:rPr>
        <w:t>]</w:t>
      </w:r>
      <w:r w:rsidR="00A15BA3" w:rsidRPr="00670D81">
        <w:rPr>
          <w:rFonts w:ascii="Times New Roman" w:eastAsia="Yu Gothic UI" w:hAnsi="Times New Roman"/>
          <w:sz w:val="28"/>
          <w:szCs w:val="28"/>
        </w:rPr>
        <w:t xml:space="preserve">. </w:t>
      </w:r>
      <w:r w:rsidR="00D12DC8" w:rsidRPr="00670D81">
        <w:rPr>
          <w:rStyle w:val="EndnoteReference"/>
          <w:rFonts w:ascii="Times New Roman" w:hAnsi="Times New Roman"/>
          <w:sz w:val="28"/>
          <w:szCs w:val="28"/>
        </w:rPr>
        <w:endnoteReference w:id="2"/>
      </w:r>
    </w:p>
    <w:p w14:paraId="359DC26A" w14:textId="77777777" w:rsidR="00971DAB" w:rsidRDefault="00971DAB" w:rsidP="00BA2B5C">
      <w:pPr>
        <w:widowControl/>
        <w:snapToGrid w:val="0"/>
        <w:ind w:left="720"/>
        <w:jc w:val="both"/>
        <w:rPr>
          <w:rFonts w:ascii="Times New Roman" w:eastAsia="Yu Gothic UI" w:hAnsi="Times New Roman"/>
          <w:sz w:val="28"/>
          <w:szCs w:val="28"/>
        </w:rPr>
      </w:pPr>
    </w:p>
    <w:p w14:paraId="6FE8F64D" w14:textId="11A37548" w:rsidR="00971DAB" w:rsidRPr="00670D81" w:rsidRDefault="00971DAB" w:rsidP="00BA2B5C">
      <w:pPr>
        <w:widowControl/>
        <w:snapToGrid w:val="0"/>
        <w:ind w:left="720"/>
        <w:jc w:val="both"/>
        <w:rPr>
          <w:rFonts w:ascii="Times New Roman" w:eastAsia="Yu Gothic UI" w:hAnsi="Times New Roman"/>
          <w:sz w:val="28"/>
          <w:szCs w:val="28"/>
        </w:rPr>
      </w:pPr>
      <w:r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lastRenderedPageBreak/>
        <w:t xml:space="preserve">Add if the </w:t>
      </w:r>
      <w:r w:rsidR="00DD27D7"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>location</w:t>
      </w:r>
      <w:r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 xml:space="preserve"> will be </w:t>
      </w:r>
      <w:r w:rsidR="00DD27D7"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>visible to the</w:t>
      </w:r>
      <w:r w:rsidRPr="00670D81">
        <w:rPr>
          <w:rFonts w:ascii="Times New Roman" w:eastAsia="Yu Gothic UI" w:hAnsi="Times New Roman"/>
          <w:i/>
          <w:iCs/>
          <w:sz w:val="28"/>
          <w:szCs w:val="28"/>
          <w:u w:val="single"/>
        </w:rPr>
        <w:t xml:space="preserve"> panel of juors:</w:t>
      </w:r>
      <w:r w:rsidRPr="00670D81">
        <w:rPr>
          <w:rFonts w:ascii="Times New Roman" w:eastAsia="Yu Gothic UI" w:hAnsi="Times New Roman"/>
          <w:sz w:val="28"/>
          <w:szCs w:val="28"/>
        </w:rPr>
        <w:t xml:space="preserve"> </w:t>
      </w:r>
    </w:p>
    <w:p w14:paraId="3FC23447" w14:textId="7F0C46D4" w:rsidR="00930697" w:rsidRDefault="00395D3B" w:rsidP="00BA2B5C">
      <w:pPr>
        <w:widowControl/>
        <w:snapToGrid w:val="0"/>
        <w:ind w:left="720"/>
        <w:jc w:val="both"/>
        <w:rPr>
          <w:rFonts w:ascii="Times New Roman" w:eastAsia="Yu Gothic UI" w:hAnsi="Times New Roman"/>
          <w:sz w:val="28"/>
          <w:szCs w:val="28"/>
        </w:rPr>
      </w:pPr>
      <w:r>
        <w:rPr>
          <w:rFonts w:ascii="Times New Roman" w:eastAsia="Yu Gothic UI" w:hAnsi="Times New Roman"/>
          <w:sz w:val="28"/>
          <w:szCs w:val="28"/>
        </w:rPr>
        <w:t>Y</w:t>
      </w:r>
      <w:r w:rsidR="005C744A">
        <w:rPr>
          <w:rFonts w:ascii="Times New Roman" w:eastAsia="Yu Gothic UI" w:hAnsi="Times New Roman"/>
          <w:sz w:val="28"/>
          <w:szCs w:val="28"/>
        </w:rPr>
        <w:t>ou will be accompanied to that location by a court officer.</w:t>
      </w:r>
      <w:r w:rsidR="00CA58EF">
        <w:rPr>
          <w:rStyle w:val="EndnoteReference"/>
          <w:rFonts w:ascii="Times New Roman" w:eastAsia="Yu Gothic UI" w:hAnsi="Times New Roman"/>
          <w:sz w:val="28"/>
          <w:szCs w:val="28"/>
        </w:rPr>
        <w:endnoteReference w:id="3"/>
      </w:r>
    </w:p>
    <w:p w14:paraId="7F07675D" w14:textId="77777777" w:rsidR="00DB0C46" w:rsidRDefault="00DB0C46" w:rsidP="00DA11BA">
      <w:pPr>
        <w:widowControl/>
        <w:snapToGrid w:val="0"/>
        <w:jc w:val="both"/>
        <w:rPr>
          <w:rFonts w:ascii="Times New Roman" w:eastAsia="Yu Gothic UI" w:hAnsi="Times New Roman"/>
          <w:sz w:val="28"/>
          <w:szCs w:val="28"/>
        </w:rPr>
      </w:pPr>
    </w:p>
    <w:p w14:paraId="482F817C" w14:textId="79FD8B58" w:rsidR="00BA2B5C" w:rsidRPr="00BA2B5C" w:rsidRDefault="004B30D9" w:rsidP="00CB0356">
      <w:pPr>
        <w:jc w:val="both"/>
        <w:rPr>
          <w:rFonts w:ascii="Times New Roman" w:eastAsia="Yu Gothic UI" w:hAnsi="Times New Roman"/>
          <w:i/>
          <w:iCs/>
          <w:sz w:val="28"/>
          <w:szCs w:val="28"/>
          <w:u w:val="single"/>
        </w:rPr>
      </w:pPr>
      <w:r>
        <w:rPr>
          <w:rFonts w:ascii="Times New Roman" w:eastAsia="Yu Gothic UI" w:hAnsi="Times New Roman"/>
          <w:i/>
          <w:iCs/>
          <w:sz w:val="28"/>
          <w:szCs w:val="28"/>
          <w:u w:val="single"/>
        </w:rPr>
        <w:t xml:space="preserve">In the Court’s </w:t>
      </w:r>
      <w:r w:rsidR="00D54ABA" w:rsidRPr="00BA2B5C">
        <w:rPr>
          <w:rFonts w:ascii="Times New Roman" w:eastAsia="Yu Gothic UI" w:hAnsi="Times New Roman"/>
          <w:i/>
          <w:iCs/>
          <w:sz w:val="28"/>
          <w:szCs w:val="28"/>
          <w:u w:val="single"/>
        </w:rPr>
        <w:t>Discretio</w:t>
      </w:r>
      <w:r>
        <w:rPr>
          <w:rFonts w:ascii="Times New Roman" w:eastAsia="Yu Gothic UI" w:hAnsi="Times New Roman"/>
          <w:i/>
          <w:iCs/>
          <w:sz w:val="28"/>
          <w:szCs w:val="28"/>
          <w:u w:val="single"/>
        </w:rPr>
        <w:t>n</w:t>
      </w:r>
      <w:r w:rsidR="00BA2B5C" w:rsidRPr="00BA2B5C">
        <w:rPr>
          <w:rFonts w:ascii="Times New Roman" w:eastAsia="Yu Gothic UI" w:hAnsi="Times New Roman"/>
          <w:i/>
          <w:iCs/>
          <w:sz w:val="28"/>
          <w:szCs w:val="28"/>
          <w:u w:val="single"/>
        </w:rPr>
        <w:t>:</w:t>
      </w:r>
    </w:p>
    <w:p w14:paraId="213195B6" w14:textId="77777777" w:rsidR="00BA2B5C" w:rsidRDefault="00BA2B5C" w:rsidP="00CB0356">
      <w:pPr>
        <w:jc w:val="both"/>
        <w:rPr>
          <w:rFonts w:ascii="Times New Roman" w:eastAsia="Yu Gothic UI" w:hAnsi="Times New Roman"/>
          <w:sz w:val="28"/>
          <w:szCs w:val="28"/>
        </w:rPr>
      </w:pPr>
    </w:p>
    <w:p w14:paraId="18ABD842" w14:textId="61875E17" w:rsidR="00CB0356" w:rsidRPr="00BA0425" w:rsidRDefault="00CB0356" w:rsidP="00BA2B5C">
      <w:pPr>
        <w:ind w:left="720"/>
        <w:jc w:val="both"/>
        <w:rPr>
          <w:rFonts w:ascii="Times New Roman" w:eastAsia="Yu Gothic UI" w:hAnsi="Times New Roman"/>
          <w:sz w:val="28"/>
          <w:szCs w:val="28"/>
        </w:rPr>
      </w:pPr>
      <w:r w:rsidRPr="00BA0425">
        <w:rPr>
          <w:rFonts w:ascii="Times New Roman" w:eastAsia="Yu Gothic UI" w:hAnsi="Times New Roman"/>
          <w:sz w:val="28"/>
          <w:szCs w:val="28"/>
        </w:rPr>
        <w:t xml:space="preserve">For </w:t>
      </w:r>
      <w:r w:rsidR="006B5703" w:rsidRPr="00BA0425">
        <w:rPr>
          <w:rFonts w:ascii="Times New Roman" w:eastAsia="Yu Gothic UI" w:hAnsi="Times New Roman"/>
          <w:sz w:val="28"/>
          <w:szCs w:val="28"/>
        </w:rPr>
        <w:t xml:space="preserve">your </w:t>
      </w:r>
      <w:r w:rsidRPr="00BA0425">
        <w:rPr>
          <w:rFonts w:ascii="Times New Roman" w:eastAsia="Yu Gothic UI" w:hAnsi="Times New Roman"/>
          <w:sz w:val="28"/>
          <w:szCs w:val="28"/>
        </w:rPr>
        <w:t>information,</w:t>
      </w:r>
      <w:r w:rsidR="006B5703" w:rsidRPr="00BA0425">
        <w:rPr>
          <w:rFonts w:ascii="Times New Roman" w:eastAsia="Yu Gothic UI" w:hAnsi="Times New Roman"/>
          <w:sz w:val="28"/>
          <w:szCs w:val="28"/>
        </w:rPr>
        <w:t xml:space="preserve"> under our law,</w:t>
      </w:r>
      <w:r w:rsidRPr="00BA0425">
        <w:rPr>
          <w:rFonts w:ascii="Times New Roman" w:eastAsia="Yu Gothic UI" w:hAnsi="Times New Roman"/>
          <w:sz w:val="28"/>
          <w:szCs w:val="28"/>
        </w:rPr>
        <w:t xml:space="preserve"> the decision on whether or not to select a juror belongs solely to defense counsel. </w:t>
      </w:r>
      <w:r w:rsidR="006B5703" w:rsidRPr="00BA0425">
        <w:rPr>
          <w:rFonts w:ascii="Times New Roman" w:eastAsia="Yu Gothic UI" w:hAnsi="Times New Roman"/>
          <w:sz w:val="28"/>
          <w:szCs w:val="28"/>
        </w:rPr>
        <w:t xml:space="preserve">You </w:t>
      </w:r>
      <w:r w:rsidRPr="00BA0425">
        <w:rPr>
          <w:rFonts w:ascii="Times New Roman" w:eastAsia="Yu Gothic UI" w:hAnsi="Times New Roman"/>
          <w:sz w:val="28"/>
          <w:szCs w:val="28"/>
        </w:rPr>
        <w:t>can consult on the selection of a juror</w:t>
      </w:r>
      <w:r w:rsidR="00E73CF8" w:rsidRPr="00BA0425">
        <w:rPr>
          <w:rFonts w:ascii="Times New Roman" w:eastAsia="Yu Gothic UI" w:hAnsi="Times New Roman"/>
          <w:sz w:val="28"/>
          <w:szCs w:val="28"/>
        </w:rPr>
        <w:t xml:space="preserve"> with your lawyer</w:t>
      </w:r>
      <w:r w:rsidRPr="00BA0425">
        <w:rPr>
          <w:rFonts w:ascii="Times New Roman" w:eastAsia="Yu Gothic UI" w:hAnsi="Times New Roman"/>
          <w:sz w:val="28"/>
          <w:szCs w:val="28"/>
        </w:rPr>
        <w:t>, but the ultimate decision is defense counsel's.</w:t>
      </w:r>
      <w:r w:rsidR="007470F0" w:rsidRPr="00BA0425">
        <w:rPr>
          <w:rStyle w:val="EndnoteReference"/>
          <w:rFonts w:ascii="Times New Roman" w:eastAsia="Yu Gothic UI" w:hAnsi="Times New Roman"/>
          <w:sz w:val="28"/>
          <w:szCs w:val="28"/>
        </w:rPr>
        <w:endnoteReference w:id="4"/>
      </w:r>
      <w:r w:rsidR="007470F0" w:rsidRPr="00BA0425">
        <w:rPr>
          <w:rFonts w:ascii="Times New Roman" w:eastAsia="Yu Gothic UI" w:hAnsi="Times New Roman"/>
          <w:sz w:val="28"/>
          <w:szCs w:val="28"/>
        </w:rPr>
        <w:t xml:space="preserve"> </w:t>
      </w:r>
      <w:r w:rsidRPr="00BA0425">
        <w:rPr>
          <w:rFonts w:ascii="Times New Roman" w:eastAsia="Yu Gothic UI" w:hAnsi="Times New Roman"/>
          <w:sz w:val="28"/>
          <w:szCs w:val="28"/>
        </w:rPr>
        <w:t xml:space="preserve"> </w:t>
      </w:r>
    </w:p>
    <w:p w14:paraId="13940E68" w14:textId="77777777" w:rsidR="00CB0356" w:rsidRPr="00BA0425" w:rsidRDefault="00CB0356" w:rsidP="00BA2B5C">
      <w:pPr>
        <w:ind w:left="720"/>
        <w:jc w:val="both"/>
        <w:rPr>
          <w:rFonts w:ascii="Times New Roman" w:eastAsia="Yu Gothic UI" w:hAnsi="Times New Roman"/>
          <w:sz w:val="28"/>
          <w:szCs w:val="28"/>
        </w:rPr>
      </w:pPr>
    </w:p>
    <w:p w14:paraId="31F97420" w14:textId="1A073805" w:rsidR="00CB0356" w:rsidRDefault="00CE0A2F" w:rsidP="00BA2B5C">
      <w:pPr>
        <w:ind w:left="720"/>
        <w:jc w:val="both"/>
        <w:rPr>
          <w:rFonts w:ascii="Times New Roman" w:eastAsia="Yu Gothic UI" w:hAnsi="Times New Roman"/>
          <w:sz w:val="28"/>
          <w:szCs w:val="28"/>
        </w:rPr>
      </w:pPr>
      <w:r w:rsidRPr="00BA0425">
        <w:rPr>
          <w:rFonts w:ascii="Times New Roman" w:eastAsia="Yu Gothic UI" w:hAnsi="Times New Roman"/>
          <w:sz w:val="28"/>
          <w:szCs w:val="28"/>
        </w:rPr>
        <w:t xml:space="preserve">Also, </w:t>
      </w:r>
      <w:r w:rsidR="0015523A" w:rsidRPr="00BA0425">
        <w:rPr>
          <w:rFonts w:ascii="Times New Roman" w:eastAsia="Yu Gothic UI" w:hAnsi="Times New Roman"/>
          <w:sz w:val="28"/>
          <w:szCs w:val="28"/>
        </w:rPr>
        <w:t>f</w:t>
      </w:r>
      <w:r w:rsidRPr="00BA0425">
        <w:rPr>
          <w:rFonts w:ascii="Times New Roman" w:eastAsia="Yu Gothic UI" w:hAnsi="Times New Roman"/>
          <w:sz w:val="28"/>
          <w:szCs w:val="28"/>
        </w:rPr>
        <w:t xml:space="preserve">or your information, </w:t>
      </w:r>
      <w:r w:rsidR="00CB0356" w:rsidRPr="00BA0425">
        <w:rPr>
          <w:rFonts w:ascii="Times New Roman" w:eastAsia="Yu Gothic UI" w:hAnsi="Times New Roman"/>
          <w:sz w:val="28"/>
          <w:szCs w:val="28"/>
        </w:rPr>
        <w:t xml:space="preserve">in the exercise of </w:t>
      </w:r>
      <w:r w:rsidR="00703724" w:rsidRPr="00BA0425">
        <w:rPr>
          <w:rFonts w:ascii="Times New Roman" w:eastAsia="Yu Gothic UI" w:hAnsi="Times New Roman"/>
          <w:sz w:val="28"/>
          <w:szCs w:val="28"/>
        </w:rPr>
        <w:t xml:space="preserve">a </w:t>
      </w:r>
      <w:r w:rsidR="00CB0356" w:rsidRPr="00BA0425">
        <w:rPr>
          <w:rFonts w:ascii="Times New Roman" w:eastAsia="Yu Gothic UI" w:hAnsi="Times New Roman"/>
          <w:sz w:val="28"/>
          <w:szCs w:val="28"/>
        </w:rPr>
        <w:t xml:space="preserve">peremptory challenge, the law forbids </w:t>
      </w:r>
      <w:r w:rsidR="007661BA">
        <w:rPr>
          <w:rFonts w:ascii="Times New Roman" w:eastAsia="Yu Gothic UI" w:hAnsi="Times New Roman"/>
          <w:sz w:val="28"/>
          <w:szCs w:val="28"/>
        </w:rPr>
        <w:t>the litigants to discriminate</w:t>
      </w:r>
      <w:r w:rsidR="00703724" w:rsidRPr="00BA0425">
        <w:rPr>
          <w:rFonts w:ascii="Times New Roman" w:eastAsia="Yu Gothic UI" w:hAnsi="Times New Roman"/>
          <w:sz w:val="28"/>
          <w:szCs w:val="28"/>
        </w:rPr>
        <w:t>.</w:t>
      </w:r>
      <w:r w:rsidR="00C352DC" w:rsidRPr="00BA0425">
        <w:rPr>
          <w:rFonts w:ascii="Times New Roman" w:eastAsia="Yu Gothic UI" w:hAnsi="Times New Roman"/>
          <w:sz w:val="28"/>
          <w:szCs w:val="28"/>
        </w:rPr>
        <w:t xml:space="preserve"> </w:t>
      </w:r>
      <w:r w:rsidR="0088579B">
        <w:rPr>
          <w:rFonts w:ascii="Times New Roman" w:eastAsia="Yu Gothic UI" w:hAnsi="Times New Roman"/>
          <w:sz w:val="28"/>
          <w:szCs w:val="28"/>
        </w:rPr>
        <w:t xml:space="preserve">So, </w:t>
      </w:r>
      <w:r w:rsidR="001705BE">
        <w:rPr>
          <w:rFonts w:ascii="Times New Roman" w:eastAsia="Yu Gothic UI" w:hAnsi="Times New Roman"/>
          <w:sz w:val="28"/>
          <w:szCs w:val="28"/>
        </w:rPr>
        <w:t xml:space="preserve">your </w:t>
      </w:r>
      <w:r w:rsidR="0088579B">
        <w:rPr>
          <w:rFonts w:ascii="Times New Roman" w:eastAsia="Yu Gothic UI" w:hAnsi="Times New Roman"/>
          <w:sz w:val="28"/>
          <w:szCs w:val="28"/>
        </w:rPr>
        <w:t>d</w:t>
      </w:r>
      <w:r w:rsidR="00CB0356" w:rsidRPr="00BA0425">
        <w:rPr>
          <w:rFonts w:ascii="Times New Roman" w:eastAsia="Yu Gothic UI" w:hAnsi="Times New Roman"/>
          <w:sz w:val="28"/>
          <w:szCs w:val="28"/>
        </w:rPr>
        <w:t>efense counsel is not permitted to do so even if</w:t>
      </w:r>
      <w:r w:rsidR="00940D7E">
        <w:rPr>
          <w:rFonts w:ascii="Times New Roman" w:eastAsia="Yu Gothic UI" w:hAnsi="Times New Roman"/>
          <w:sz w:val="28"/>
          <w:szCs w:val="28"/>
        </w:rPr>
        <w:t xml:space="preserve"> you</w:t>
      </w:r>
      <w:r w:rsidR="00CB0356" w:rsidRPr="00BA0425">
        <w:rPr>
          <w:rFonts w:ascii="Times New Roman" w:eastAsia="Yu Gothic UI" w:hAnsi="Times New Roman"/>
          <w:sz w:val="28"/>
          <w:szCs w:val="28"/>
        </w:rPr>
        <w:t xml:space="preserve"> </w:t>
      </w:r>
      <w:r w:rsidR="00C352DC" w:rsidRPr="00BA0425">
        <w:rPr>
          <w:rFonts w:ascii="Times New Roman" w:eastAsia="Yu Gothic UI" w:hAnsi="Times New Roman"/>
          <w:sz w:val="28"/>
          <w:szCs w:val="28"/>
        </w:rPr>
        <w:t>wish counsel</w:t>
      </w:r>
      <w:r w:rsidR="00CB0356" w:rsidRPr="00BA0425">
        <w:rPr>
          <w:rFonts w:ascii="Times New Roman" w:eastAsia="Yu Gothic UI" w:hAnsi="Times New Roman"/>
          <w:sz w:val="28"/>
          <w:szCs w:val="28"/>
        </w:rPr>
        <w:t xml:space="preserve"> to do so</w:t>
      </w:r>
      <w:r w:rsidR="00C41D76" w:rsidRPr="00BA0425">
        <w:rPr>
          <w:rFonts w:ascii="Times New Roman" w:eastAsia="Yu Gothic UI" w:hAnsi="Times New Roman"/>
          <w:sz w:val="28"/>
          <w:szCs w:val="28"/>
        </w:rPr>
        <w:t xml:space="preserve">. </w:t>
      </w:r>
      <w:r w:rsidR="00210D42">
        <w:rPr>
          <w:rStyle w:val="EndnoteReference"/>
          <w:rFonts w:ascii="Times New Roman" w:eastAsia="Yu Gothic UI" w:hAnsi="Times New Roman"/>
          <w:sz w:val="28"/>
          <w:szCs w:val="28"/>
        </w:rPr>
        <w:endnoteReference w:id="5"/>
      </w:r>
    </w:p>
    <w:p w14:paraId="2B6DAC4D" w14:textId="77777777" w:rsidR="0015523A" w:rsidRDefault="0015523A" w:rsidP="00CB0356">
      <w:pPr>
        <w:jc w:val="both"/>
        <w:rPr>
          <w:rFonts w:ascii="Times New Roman" w:eastAsia="Yu Gothic UI" w:hAnsi="Times New Roman"/>
          <w:sz w:val="28"/>
          <w:szCs w:val="28"/>
        </w:rPr>
      </w:pPr>
    </w:p>
    <w:p w14:paraId="76365CC0" w14:textId="43CEE733" w:rsidR="007470F0" w:rsidRPr="00AF78B9" w:rsidRDefault="00AF78B9" w:rsidP="00CB0356">
      <w:pPr>
        <w:jc w:val="both"/>
        <w:rPr>
          <w:rFonts w:ascii="Times New Roman" w:eastAsia="Yu Gothic UI" w:hAnsi="Times New Roman"/>
          <w:b/>
          <w:bCs/>
          <w:sz w:val="28"/>
          <w:szCs w:val="28"/>
        </w:rPr>
      </w:pPr>
      <w:r w:rsidRPr="00AF78B9">
        <w:rPr>
          <w:rFonts w:ascii="Times New Roman" w:eastAsia="Yu Gothic UI" w:hAnsi="Times New Roman"/>
          <w:b/>
          <w:bCs/>
          <w:sz w:val="28"/>
          <w:szCs w:val="28"/>
        </w:rPr>
        <w:t>To defense counsel:</w:t>
      </w:r>
    </w:p>
    <w:p w14:paraId="1B80F550" w14:textId="28040F62" w:rsidR="00AF78B9" w:rsidRDefault="00AF78B9" w:rsidP="00CB0356">
      <w:pPr>
        <w:jc w:val="both"/>
        <w:rPr>
          <w:rFonts w:ascii="Times New Roman" w:eastAsia="Yu Gothic UI" w:hAnsi="Times New Roman"/>
          <w:sz w:val="28"/>
          <w:szCs w:val="28"/>
        </w:rPr>
      </w:pPr>
      <w:r>
        <w:rPr>
          <w:rFonts w:ascii="Times New Roman" w:eastAsia="Yu Gothic UI" w:hAnsi="Times New Roman"/>
          <w:sz w:val="28"/>
          <w:szCs w:val="28"/>
        </w:rPr>
        <w:t xml:space="preserve">Does your client wish to waive </w:t>
      </w:r>
      <w:r w:rsidR="0004768B">
        <w:rPr>
          <w:rFonts w:ascii="Times New Roman" w:eastAsia="Yu Gothic UI" w:hAnsi="Times New Roman"/>
          <w:sz w:val="28"/>
          <w:szCs w:val="28"/>
        </w:rPr>
        <w:t>the right to be present during the questioning of the jurors?</w:t>
      </w:r>
      <w:r w:rsidR="002E5148">
        <w:rPr>
          <w:rStyle w:val="EndnoteReference"/>
          <w:rFonts w:ascii="Times New Roman" w:eastAsia="Yu Gothic UI" w:hAnsi="Times New Roman"/>
          <w:sz w:val="28"/>
          <w:szCs w:val="28"/>
        </w:rPr>
        <w:endnoteReference w:id="6"/>
      </w:r>
    </w:p>
    <w:p w14:paraId="27F34188" w14:textId="77777777" w:rsidR="0004768B" w:rsidRDefault="0004768B" w:rsidP="00CB0356">
      <w:pPr>
        <w:jc w:val="both"/>
        <w:rPr>
          <w:rFonts w:ascii="Times New Roman" w:eastAsia="Yu Gothic UI" w:hAnsi="Times New Roman"/>
          <w:sz w:val="28"/>
          <w:szCs w:val="28"/>
        </w:rPr>
      </w:pPr>
    </w:p>
    <w:p w14:paraId="5559636D" w14:textId="67FBFE14" w:rsidR="0004768B" w:rsidRDefault="0004768B" w:rsidP="00CB0356">
      <w:pPr>
        <w:jc w:val="both"/>
        <w:rPr>
          <w:rFonts w:ascii="Times New Roman" w:eastAsia="Yu Gothic UI" w:hAnsi="Times New Roman"/>
          <w:b/>
          <w:bCs/>
          <w:sz w:val="28"/>
          <w:szCs w:val="28"/>
        </w:rPr>
      </w:pPr>
      <w:r w:rsidRPr="002E5148">
        <w:rPr>
          <w:rFonts w:ascii="Times New Roman" w:eastAsia="Yu Gothic UI" w:hAnsi="Times New Roman"/>
          <w:b/>
          <w:bCs/>
          <w:sz w:val="28"/>
          <w:szCs w:val="28"/>
        </w:rPr>
        <w:t>To defendant:</w:t>
      </w:r>
    </w:p>
    <w:p w14:paraId="628E27DC" w14:textId="2DDCBDB5" w:rsidR="003D5124" w:rsidRPr="00BA0425" w:rsidRDefault="003D5124" w:rsidP="003D5124">
      <w:pPr>
        <w:jc w:val="both"/>
        <w:rPr>
          <w:rFonts w:ascii="Times New Roman" w:eastAsia="Yu Gothic UI" w:hAnsi="Times New Roman"/>
          <w:sz w:val="28"/>
          <w:szCs w:val="28"/>
        </w:rPr>
      </w:pPr>
      <w:r w:rsidRPr="00BA0425">
        <w:rPr>
          <w:rFonts w:ascii="Times New Roman" w:eastAsia="Yu Gothic UI" w:hAnsi="Times New Roman"/>
          <w:sz w:val="28"/>
          <w:szCs w:val="28"/>
        </w:rPr>
        <w:t xml:space="preserve">Have you consulted with </w:t>
      </w:r>
      <w:r w:rsidRPr="00670D81">
        <w:rPr>
          <w:rFonts w:ascii="Times New Roman" w:eastAsia="Yu Gothic UI" w:hAnsi="Times New Roman"/>
          <w:sz w:val="28"/>
          <w:szCs w:val="28"/>
        </w:rPr>
        <w:t>your lawyer</w:t>
      </w:r>
      <w:r w:rsidRPr="00BA0425">
        <w:rPr>
          <w:rFonts w:ascii="Times New Roman" w:eastAsia="Yu Gothic UI" w:hAnsi="Times New Roman"/>
          <w:sz w:val="28"/>
          <w:szCs w:val="28"/>
        </w:rPr>
        <w:t xml:space="preserve"> about whether you wish to waive your presence </w:t>
      </w:r>
      <w:r w:rsidRPr="00670D81">
        <w:rPr>
          <w:rFonts w:ascii="Times New Roman" w:eastAsia="Yu Gothic UI" w:hAnsi="Times New Roman"/>
          <w:sz w:val="28"/>
          <w:szCs w:val="28"/>
        </w:rPr>
        <w:t>during the examination of prospective jurors</w:t>
      </w:r>
      <w:r w:rsidRPr="00BA0425">
        <w:rPr>
          <w:rFonts w:ascii="Times New Roman" w:eastAsia="Yu Gothic UI" w:hAnsi="Times New Roman"/>
          <w:sz w:val="28"/>
          <w:szCs w:val="28"/>
        </w:rPr>
        <w:t>?</w:t>
      </w:r>
    </w:p>
    <w:p w14:paraId="5548BD2C" w14:textId="77777777" w:rsidR="003D5124" w:rsidRPr="002E5148" w:rsidRDefault="003D5124" w:rsidP="00CB0356">
      <w:pPr>
        <w:jc w:val="both"/>
        <w:rPr>
          <w:rFonts w:ascii="Times New Roman" w:eastAsia="Yu Gothic UI" w:hAnsi="Times New Roman"/>
          <w:b/>
          <w:bCs/>
          <w:sz w:val="28"/>
          <w:szCs w:val="28"/>
        </w:rPr>
      </w:pPr>
    </w:p>
    <w:p w14:paraId="4B9B054F" w14:textId="1979AC9E" w:rsidR="0015523A" w:rsidRDefault="0015523A" w:rsidP="00CB0356">
      <w:pPr>
        <w:jc w:val="both"/>
        <w:rPr>
          <w:rFonts w:ascii="Times New Roman" w:eastAsia="Yu Gothic UI" w:hAnsi="Times New Roman"/>
          <w:sz w:val="28"/>
          <w:szCs w:val="28"/>
        </w:rPr>
      </w:pPr>
      <w:r w:rsidRPr="00BA0425">
        <w:rPr>
          <w:rFonts w:ascii="Times New Roman" w:eastAsia="Yu Gothic UI" w:hAnsi="Times New Roman"/>
          <w:sz w:val="28"/>
          <w:szCs w:val="28"/>
        </w:rPr>
        <w:t xml:space="preserve">Do you waive your </w:t>
      </w:r>
      <w:r w:rsidR="00670D81">
        <w:rPr>
          <w:rFonts w:ascii="Times New Roman" w:eastAsia="Yu Gothic UI" w:hAnsi="Times New Roman"/>
          <w:sz w:val="28"/>
          <w:szCs w:val="28"/>
        </w:rPr>
        <w:t xml:space="preserve">right to be </w:t>
      </w:r>
      <w:r w:rsidRPr="00BA0425">
        <w:rPr>
          <w:rFonts w:ascii="Times New Roman" w:eastAsia="Yu Gothic UI" w:hAnsi="Times New Roman"/>
          <w:sz w:val="28"/>
          <w:szCs w:val="28"/>
        </w:rPr>
        <w:t>presence?</w:t>
      </w:r>
      <w:r w:rsidR="004F72D9">
        <w:rPr>
          <w:rStyle w:val="EndnoteReference"/>
          <w:rFonts w:ascii="Times New Roman" w:eastAsia="Yu Gothic UI" w:hAnsi="Times New Roman"/>
          <w:sz w:val="28"/>
          <w:szCs w:val="28"/>
        </w:rPr>
        <w:endnoteReference w:id="7"/>
      </w:r>
    </w:p>
    <w:p w14:paraId="3F8DB738" w14:textId="77777777" w:rsidR="00234E28" w:rsidRPr="00BA0425" w:rsidRDefault="00234E28" w:rsidP="00CB0356">
      <w:pPr>
        <w:jc w:val="both"/>
        <w:rPr>
          <w:rFonts w:ascii="Times New Roman" w:eastAsia="Yu Gothic UI" w:hAnsi="Times New Roman"/>
          <w:sz w:val="28"/>
          <w:szCs w:val="28"/>
        </w:rPr>
      </w:pPr>
    </w:p>
    <w:p w14:paraId="1280FFD2" w14:textId="356CC9FA" w:rsidR="00BE6C54" w:rsidRPr="00BA0425" w:rsidRDefault="00BE6C54" w:rsidP="00CB0356">
      <w:pPr>
        <w:jc w:val="both"/>
        <w:rPr>
          <w:rFonts w:ascii="Times New Roman" w:eastAsia="Yu Gothic UI" w:hAnsi="Times New Roman"/>
          <w:sz w:val="28"/>
          <w:szCs w:val="28"/>
        </w:rPr>
      </w:pPr>
      <w:r>
        <w:rPr>
          <w:rFonts w:ascii="Times New Roman" w:eastAsia="Yu Gothic UI" w:hAnsi="Times New Roman"/>
          <w:sz w:val="28"/>
          <w:szCs w:val="28"/>
        </w:rPr>
        <w:t>Do you do so voluntarily, of your own free will?</w:t>
      </w:r>
      <w:r w:rsidR="00851795">
        <w:rPr>
          <w:rStyle w:val="EndnoteReference"/>
          <w:rFonts w:ascii="Times New Roman" w:eastAsia="Yu Gothic UI" w:hAnsi="Times New Roman"/>
          <w:sz w:val="28"/>
          <w:szCs w:val="28"/>
        </w:rPr>
        <w:endnoteReference w:id="8"/>
      </w:r>
    </w:p>
    <w:p w14:paraId="39194186" w14:textId="77777777" w:rsidR="0015523A" w:rsidRPr="00BA0425" w:rsidRDefault="0015523A" w:rsidP="00CB0356">
      <w:pPr>
        <w:jc w:val="both"/>
        <w:rPr>
          <w:rFonts w:ascii="Times New Roman" w:eastAsia="Yu Gothic UI" w:hAnsi="Times New Roman"/>
          <w:sz w:val="28"/>
          <w:szCs w:val="28"/>
        </w:rPr>
      </w:pPr>
    </w:p>
    <w:sectPr w:rsidR="0015523A" w:rsidRPr="00BA0425" w:rsidSect="000C3C65">
      <w:endnotePr>
        <w:numFmt w:val="decimal"/>
      </w:endnotePr>
      <w:type w:val="continuous"/>
      <w:pgSz w:w="12240" w:h="15840"/>
      <w:pgMar w:top="1080" w:right="2160" w:bottom="1080" w:left="2160" w:header="9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0CC3D" w14:textId="77777777" w:rsidR="000C3C65" w:rsidRDefault="000C3C65" w:rsidP="00CB0356">
      <w:r>
        <w:separator/>
      </w:r>
    </w:p>
  </w:endnote>
  <w:endnote w:type="continuationSeparator" w:id="0">
    <w:p w14:paraId="45E39BBA" w14:textId="77777777" w:rsidR="000C3C65" w:rsidRDefault="000C3C65" w:rsidP="00CB0356">
      <w:r>
        <w:continuationSeparator/>
      </w:r>
    </w:p>
  </w:endnote>
  <w:endnote w:id="1">
    <w:p w14:paraId="0FBE94CA" w14:textId="3A8F1961" w:rsidR="0039062F" w:rsidRPr="0039062F" w:rsidRDefault="007470F0" w:rsidP="0039062F">
      <w:pPr>
        <w:widowControl/>
        <w:snapToGrid w:val="0"/>
        <w:jc w:val="both"/>
        <w:rPr>
          <w:rFonts w:ascii="Times New Roman" w:hAnsi="Times New Roman"/>
          <w:color w:val="000000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</w:t>
      </w:r>
      <w:r w:rsidRPr="00F644F0">
        <w:rPr>
          <w:rFonts w:ascii="Times New Roman" w:hAnsi="Times New Roman"/>
          <w:i/>
          <w:color w:val="000000"/>
          <w:lang w:val="x-none"/>
        </w:rPr>
        <w:t xml:space="preserve">People v. Antommarchi, </w:t>
      </w:r>
      <w:r w:rsidRPr="00F644F0">
        <w:rPr>
          <w:rFonts w:ascii="Times New Roman" w:hAnsi="Times New Roman"/>
          <w:color w:val="000000"/>
          <w:lang w:val="x-none"/>
        </w:rPr>
        <w:t>80 N.Y.2d 247,</w:t>
      </w:r>
      <w:r w:rsidRPr="00F644F0">
        <w:rPr>
          <w:rFonts w:ascii="Times New Roman" w:hAnsi="Times New Roman"/>
          <w:color w:val="000000"/>
        </w:rPr>
        <w:t xml:space="preserve"> </w:t>
      </w:r>
      <w:r w:rsidRPr="00F644F0">
        <w:rPr>
          <w:rFonts w:ascii="Times New Roman" w:hAnsi="Times New Roman"/>
          <w:color w:val="000000"/>
          <w:lang w:val="x-none"/>
        </w:rPr>
        <w:t xml:space="preserve">250 </w:t>
      </w:r>
      <w:r w:rsidR="00830996" w:rsidRPr="00F644F0">
        <w:rPr>
          <w:rFonts w:ascii="Times New Roman" w:hAnsi="Times New Roman"/>
          <w:color w:val="000000"/>
        </w:rPr>
        <w:t>[</w:t>
      </w:r>
      <w:r w:rsidRPr="00F644F0">
        <w:rPr>
          <w:rFonts w:ascii="Times New Roman" w:hAnsi="Times New Roman"/>
          <w:color w:val="000000"/>
          <w:lang w:val="x-none"/>
        </w:rPr>
        <w:t>1992</w:t>
      </w:r>
      <w:r w:rsidR="00830996" w:rsidRPr="00F644F0">
        <w:rPr>
          <w:rFonts w:ascii="Times New Roman" w:hAnsi="Times New Roman"/>
          <w:color w:val="000000"/>
        </w:rPr>
        <w:t>]</w:t>
      </w:r>
      <w:r w:rsidRPr="00F644F0">
        <w:rPr>
          <w:rFonts w:ascii="Times New Roman" w:hAnsi="Times New Roman"/>
          <w:color w:val="000000"/>
          <w:lang w:val="x-none"/>
        </w:rPr>
        <w:t>.</w:t>
      </w:r>
      <w:r w:rsidR="0039062F">
        <w:rPr>
          <w:rFonts w:ascii="Times New Roman" w:hAnsi="Times New Roman"/>
          <w:color w:val="000000"/>
        </w:rPr>
        <w:t xml:space="preserve"> </w:t>
      </w:r>
      <w:r w:rsidR="0039062F" w:rsidRPr="0039062F">
        <w:rPr>
          <w:rFonts w:ascii="Times New Roman" w:hAnsi="Times New Roman"/>
          <w:i/>
          <w:iCs/>
          <w:color w:val="000000"/>
          <w14:ligatures w14:val="none"/>
        </w:rPr>
        <w:t>See</w:t>
      </w:r>
      <w:r w:rsidR="0039062F">
        <w:rPr>
          <w:rFonts w:ascii="Times New Roman" w:hAnsi="Times New Roman"/>
          <w:color w:val="000000"/>
          <w14:ligatures w14:val="none"/>
        </w:rPr>
        <w:t xml:space="preserve"> </w:t>
      </w:r>
      <w:r w:rsidR="0039062F" w:rsidRPr="00FB30B7">
        <w:rPr>
          <w:rFonts w:ascii="Times New Roman" w:hAnsi="Times New Roman"/>
          <w:i/>
          <w:iCs/>
          <w:color w:val="3D3D3D"/>
          <w:bdr w:val="none" w:sz="0" w:space="0" w:color="auto" w:frame="1"/>
          <w14:ligatures w14:val="none"/>
        </w:rPr>
        <w:t>People v Williams</w:t>
      </w:r>
      <w:r w:rsidR="0039062F" w:rsidRPr="00FB30B7">
        <w:rPr>
          <w:rFonts w:ascii="Times New Roman" w:hAnsi="Times New Roman"/>
          <w:color w:val="000000"/>
          <w14:ligatures w14:val="none"/>
        </w:rPr>
        <w:t>, 15 NY3d 739, 740 [2010]</w:t>
      </w:r>
      <w:r w:rsidR="0039062F">
        <w:rPr>
          <w:rFonts w:ascii="Times New Roman" w:hAnsi="Times New Roman"/>
          <w:color w:val="000000"/>
          <w14:ligatures w14:val="none"/>
        </w:rPr>
        <w:t xml:space="preserve"> [where the Court advise</w:t>
      </w:r>
      <w:r w:rsidR="00890D37">
        <w:rPr>
          <w:rFonts w:ascii="Times New Roman" w:hAnsi="Times New Roman"/>
          <w:color w:val="000000"/>
          <w14:ligatures w14:val="none"/>
        </w:rPr>
        <w:t>s</w:t>
      </w:r>
      <w:r w:rsidR="0039062F">
        <w:rPr>
          <w:rFonts w:ascii="Times New Roman" w:hAnsi="Times New Roman"/>
          <w:color w:val="000000"/>
          <w14:ligatures w14:val="none"/>
        </w:rPr>
        <w:t xml:space="preserve"> the defendant of the right to be present at conferences with the jurors but d</w:t>
      </w:r>
      <w:r w:rsidR="00BC1ABC">
        <w:rPr>
          <w:rFonts w:ascii="Times New Roman" w:hAnsi="Times New Roman"/>
          <w:color w:val="000000"/>
          <w14:ligatures w14:val="none"/>
        </w:rPr>
        <w:t>oes</w:t>
      </w:r>
      <w:r w:rsidR="0039062F">
        <w:rPr>
          <w:rFonts w:ascii="Times New Roman" w:hAnsi="Times New Roman"/>
          <w:color w:val="000000"/>
          <w14:ligatures w14:val="none"/>
        </w:rPr>
        <w:t xml:space="preserve"> not state the specific reason for the conferences, </w:t>
      </w:r>
      <w:r w:rsidR="0039062F" w:rsidRPr="004D38B3">
        <w:rPr>
          <w:rFonts w:ascii="Times New Roman" w:hAnsi="Times New Roman"/>
          <w:color w:val="000000"/>
          <w14:ligatures w14:val="none"/>
        </w:rPr>
        <w:t xml:space="preserve">the Court </w:t>
      </w:r>
      <w:r w:rsidR="0039062F">
        <w:rPr>
          <w:rFonts w:ascii="Times New Roman" w:hAnsi="Times New Roman"/>
          <w:color w:val="000000"/>
          <w14:ligatures w14:val="none"/>
        </w:rPr>
        <w:t xml:space="preserve">of Appeals </w:t>
      </w:r>
      <w:r w:rsidR="0039062F" w:rsidRPr="004D38B3">
        <w:rPr>
          <w:rFonts w:ascii="Times New Roman" w:hAnsi="Times New Roman"/>
          <w:color w:val="000000"/>
          <w14:ligatures w14:val="none"/>
        </w:rPr>
        <w:t xml:space="preserve">indicated that a “better practice” </w:t>
      </w:r>
      <w:r w:rsidR="0039062F" w:rsidRPr="00FB30B7">
        <w:rPr>
          <w:rFonts w:ascii="Times New Roman" w:hAnsi="Times New Roman"/>
          <w:color w:val="000000"/>
          <w14:ligatures w14:val="none"/>
        </w:rPr>
        <w:t xml:space="preserve">is to note that </w:t>
      </w:r>
      <w:r w:rsidR="0039062F" w:rsidRPr="00FB30B7">
        <w:rPr>
          <w:rFonts w:ascii="Times New Roman" w:hAnsi="Times New Roman"/>
          <w:i/>
          <w:iCs/>
          <w:color w:val="3D3D3D"/>
          <w:bdr w:val="none" w:sz="0" w:space="0" w:color="auto" w:frame="1"/>
          <w14:ligatures w14:val="none"/>
        </w:rPr>
        <w:t>Antommarchi</w:t>
      </w:r>
      <w:r w:rsidR="0039062F" w:rsidRPr="00FB30B7">
        <w:rPr>
          <w:rFonts w:ascii="Times New Roman" w:hAnsi="Times New Roman"/>
          <w:color w:val="000000"/>
          <w14:ligatures w14:val="none"/>
        </w:rPr>
        <w:t xml:space="preserve"> rights relate to the right to be present at conferences with potential jurors regarding issues of bias"</w:t>
      </w:r>
      <w:r w:rsidR="0039062F">
        <w:rPr>
          <w:rFonts w:ascii="Times New Roman" w:hAnsi="Times New Roman"/>
          <w:color w:val="000000"/>
          <w14:ligatures w14:val="none"/>
        </w:rPr>
        <w:t>].</w:t>
      </w:r>
    </w:p>
    <w:p w14:paraId="01A967E9" w14:textId="77777777" w:rsidR="007470F0" w:rsidRPr="00F644F0" w:rsidRDefault="007470F0" w:rsidP="002E5148">
      <w:pPr>
        <w:widowControl/>
        <w:snapToGrid w:val="0"/>
        <w:jc w:val="both"/>
        <w:rPr>
          <w:rFonts w:ascii="Times New Roman" w:hAnsi="Times New Roman"/>
        </w:rPr>
      </w:pPr>
    </w:p>
  </w:endnote>
  <w:endnote w:id="2">
    <w:p w14:paraId="2B8E5509" w14:textId="77777777" w:rsidR="00D12DC8" w:rsidRPr="00F644F0" w:rsidRDefault="00D12DC8" w:rsidP="00D12DC8">
      <w:pPr>
        <w:pStyle w:val="EndnoteText"/>
        <w:rPr>
          <w:rFonts w:ascii="Times New Roman" w:hAnsi="Times New Roman"/>
          <w:color w:val="000000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</w:t>
      </w:r>
      <w:r w:rsidRPr="00F644F0">
        <w:rPr>
          <w:rFonts w:ascii="Times New Roman" w:hAnsi="Times New Roman"/>
          <w:i/>
          <w:color w:val="000000"/>
          <w:lang w:val="x-none"/>
        </w:rPr>
        <w:t xml:space="preserve">People v. Vargas, </w:t>
      </w:r>
      <w:r w:rsidRPr="00F644F0">
        <w:rPr>
          <w:rFonts w:ascii="Times New Roman" w:hAnsi="Times New Roman"/>
          <w:color w:val="000000"/>
          <w:lang w:val="x-none"/>
        </w:rPr>
        <w:t>88 N.Y.2d</w:t>
      </w:r>
      <w:r w:rsidRPr="00F644F0">
        <w:rPr>
          <w:rFonts w:ascii="Times New Roman" w:hAnsi="Times New Roman"/>
          <w:color w:val="000000"/>
        </w:rPr>
        <w:t xml:space="preserve"> </w:t>
      </w:r>
      <w:r w:rsidRPr="00F644F0">
        <w:rPr>
          <w:rFonts w:ascii="Times New Roman" w:hAnsi="Times New Roman"/>
          <w:color w:val="000000"/>
          <w:lang w:val="x-none"/>
        </w:rPr>
        <w:t>363</w:t>
      </w:r>
      <w:r w:rsidRPr="00F644F0">
        <w:rPr>
          <w:rFonts w:ascii="Times New Roman" w:hAnsi="Times New Roman"/>
          <w:color w:val="000000"/>
        </w:rPr>
        <w:t xml:space="preserve"> [</w:t>
      </w:r>
      <w:r w:rsidRPr="00F644F0">
        <w:rPr>
          <w:rFonts w:ascii="Times New Roman" w:hAnsi="Times New Roman"/>
          <w:color w:val="000000"/>
          <w:lang w:val="x-none"/>
        </w:rPr>
        <w:t>1996</w:t>
      </w:r>
      <w:r w:rsidRPr="00F644F0">
        <w:rPr>
          <w:rFonts w:ascii="Times New Roman" w:hAnsi="Times New Roman"/>
          <w:color w:val="000000"/>
        </w:rPr>
        <w:t>].</w:t>
      </w:r>
    </w:p>
    <w:p w14:paraId="0E6112C3" w14:textId="77777777" w:rsidR="00D12DC8" w:rsidRPr="00F644F0" w:rsidRDefault="00D12DC8" w:rsidP="00D12DC8">
      <w:pPr>
        <w:pStyle w:val="EndnoteText"/>
        <w:rPr>
          <w:rFonts w:ascii="Times New Roman" w:hAnsi="Times New Roman"/>
        </w:rPr>
      </w:pPr>
    </w:p>
  </w:endnote>
  <w:endnote w:id="3">
    <w:p w14:paraId="4C15C49C" w14:textId="36924AEB" w:rsidR="00CA58EF" w:rsidRPr="00F644F0" w:rsidRDefault="00CA58EF" w:rsidP="00CA58EF">
      <w:pPr>
        <w:widowControl/>
        <w:snapToGrid w:val="0"/>
        <w:rPr>
          <w:rFonts w:ascii="Times New Roman" w:hAnsi="Times New Roman"/>
          <w:color w:val="000000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</w:t>
      </w:r>
      <w:r w:rsidR="0081285B" w:rsidRPr="00F644F0">
        <w:rPr>
          <w:rFonts w:ascii="Times New Roman" w:hAnsi="Times New Roman"/>
          <w:i/>
          <w:color w:val="000000"/>
        </w:rPr>
        <w:t>Id.</w:t>
      </w:r>
      <w:r w:rsidR="003D3555" w:rsidRPr="00F644F0">
        <w:rPr>
          <w:rFonts w:ascii="Times New Roman" w:hAnsi="Times New Roman"/>
          <w:color w:val="000000"/>
        </w:rPr>
        <w:t xml:space="preserve"> </w:t>
      </w:r>
    </w:p>
    <w:p w14:paraId="30251E0C" w14:textId="7A24746D" w:rsidR="00CA58EF" w:rsidRPr="00F644F0" w:rsidRDefault="00CA58EF">
      <w:pPr>
        <w:pStyle w:val="EndnoteText"/>
        <w:rPr>
          <w:rFonts w:ascii="Times New Roman" w:hAnsi="Times New Roman"/>
        </w:rPr>
      </w:pPr>
    </w:p>
  </w:endnote>
  <w:endnote w:id="4">
    <w:p w14:paraId="49E8C4A2" w14:textId="603BA4DB" w:rsidR="007470F0" w:rsidRPr="00F644F0" w:rsidRDefault="007470F0" w:rsidP="002E5148">
      <w:pPr>
        <w:spacing w:after="240"/>
        <w:jc w:val="both"/>
        <w:rPr>
          <w:rFonts w:ascii="Times New Roman" w:hAnsi="Times New Roman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 </w:t>
      </w:r>
      <w:r w:rsidRPr="00F644F0">
        <w:rPr>
          <w:rFonts w:ascii="Times New Roman" w:hAnsi="Times New Roman"/>
          <w:i/>
          <w:iCs/>
        </w:rPr>
        <w:t>People v. Colon</w:t>
      </w:r>
      <w:r w:rsidRPr="00F644F0">
        <w:rPr>
          <w:rFonts w:ascii="Times New Roman" w:hAnsi="Times New Roman"/>
        </w:rPr>
        <w:t xml:space="preserve">, 90 N.Y.2d 824, 826 </w:t>
      </w:r>
      <w:r w:rsidR="000C1C8D" w:rsidRPr="00F644F0">
        <w:rPr>
          <w:rFonts w:ascii="Times New Roman" w:hAnsi="Times New Roman"/>
        </w:rPr>
        <w:t>[</w:t>
      </w:r>
      <w:r w:rsidRPr="00F644F0">
        <w:rPr>
          <w:rFonts w:ascii="Times New Roman" w:hAnsi="Times New Roman"/>
        </w:rPr>
        <w:t>1997</w:t>
      </w:r>
      <w:r w:rsidR="000C1C8D" w:rsidRPr="00F644F0">
        <w:rPr>
          <w:rFonts w:ascii="Times New Roman" w:hAnsi="Times New Roman"/>
        </w:rPr>
        <w:t>]</w:t>
      </w:r>
      <w:r w:rsidR="000C0155" w:rsidRPr="00F644F0">
        <w:rPr>
          <w:rFonts w:ascii="Times New Roman" w:hAnsi="Times New Roman"/>
        </w:rPr>
        <w:t xml:space="preserve"> [the </w:t>
      </w:r>
      <w:r w:rsidR="000C0155" w:rsidRPr="00F644F0">
        <w:rPr>
          <w:rFonts w:ascii="Times New Roman" w:hAnsi="Times New Roman"/>
        </w:rPr>
        <w:sym w:font="WP TypographicSymbols" w:char="0041"/>
      </w:r>
      <w:r w:rsidR="000C0155" w:rsidRPr="00F644F0">
        <w:rPr>
          <w:rFonts w:ascii="Times New Roman" w:hAnsi="Times New Roman"/>
        </w:rPr>
        <w:t>selection of particular jurors falls within the category of tactical decisions entrusted to counsel, and defendants do not retain a personal veto power over counsel's exercise of professional judgments</w:t>
      </w:r>
      <w:r w:rsidR="000C0155" w:rsidRPr="00F644F0">
        <w:rPr>
          <w:rFonts w:ascii="Times New Roman" w:hAnsi="Times New Roman"/>
        </w:rPr>
        <w:sym w:font="WP TypographicSymbols" w:char="0040"/>
      </w:r>
      <w:r w:rsidR="000C0155" w:rsidRPr="00F644F0">
        <w:rPr>
          <w:rFonts w:ascii="Times New Roman" w:hAnsi="Times New Roman"/>
        </w:rPr>
        <w:t>].</w:t>
      </w:r>
    </w:p>
  </w:endnote>
  <w:endnote w:id="5">
    <w:p w14:paraId="4027539F" w14:textId="6772E374" w:rsidR="00210D42" w:rsidRPr="00210D42" w:rsidRDefault="00210D42" w:rsidP="00210D42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Times New Roman" w:hAnsi="Times New Roman"/>
          <w:color w:val="000000"/>
          <w14:ligatures w14:val="none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</w:t>
      </w:r>
      <w:r w:rsidRPr="00F644F0">
        <w:rPr>
          <w:rFonts w:ascii="Times New Roman" w:hAnsi="Times New Roman"/>
          <w:i/>
          <w:iCs/>
          <w:color w:val="3D3D3D"/>
          <w:bdr w:val="none" w:sz="0" w:space="0" w:color="auto" w:frame="1"/>
          <w14:ligatures w14:val="none"/>
        </w:rPr>
        <w:t>People v Kern</w:t>
      </w:r>
      <w:r w:rsidRPr="00F644F0">
        <w:rPr>
          <w:rFonts w:ascii="Times New Roman" w:hAnsi="Times New Roman"/>
          <w:color w:val="000000"/>
          <w14:ligatures w14:val="none"/>
        </w:rPr>
        <w:t>, 75 NY2d 638, 643 [1990] [</w:t>
      </w:r>
      <w:r w:rsidRPr="00210D42">
        <w:rPr>
          <w:rFonts w:ascii="Times New Roman" w:hAnsi="Times New Roman"/>
          <w:color w:val="000000"/>
          <w14:ligatures w14:val="none"/>
        </w:rPr>
        <w:t>"racial discrimination has no place in our courtrooms and that such conduct by defense counsel is prohibited"</w:t>
      </w:r>
      <w:r w:rsidRPr="00F644F0">
        <w:rPr>
          <w:rFonts w:ascii="Times New Roman" w:hAnsi="Times New Roman"/>
          <w:color w:val="000000"/>
          <w14:ligatures w14:val="none"/>
        </w:rPr>
        <w:t>].</w:t>
      </w:r>
    </w:p>
    <w:p w14:paraId="77FC6120" w14:textId="3FBFC2C5" w:rsidR="00210D42" w:rsidRPr="00F644F0" w:rsidRDefault="00210D42">
      <w:pPr>
        <w:pStyle w:val="EndnoteText"/>
        <w:rPr>
          <w:rFonts w:ascii="Times New Roman" w:hAnsi="Times New Roman"/>
        </w:rPr>
      </w:pPr>
    </w:p>
  </w:endnote>
  <w:endnote w:id="6">
    <w:p w14:paraId="512EFBFD" w14:textId="30E68D9B" w:rsidR="009A5676" w:rsidRPr="00F644F0" w:rsidRDefault="002E5148" w:rsidP="00851D8C">
      <w:pPr>
        <w:widowControl/>
        <w:shd w:val="clear" w:color="auto" w:fill="FFFFFF"/>
        <w:autoSpaceDE/>
        <w:autoSpaceDN/>
        <w:adjustRightInd/>
        <w:spacing w:line="320" w:lineRule="atLeast"/>
        <w:jc w:val="both"/>
        <w:rPr>
          <w:rFonts w:ascii="Times New Roman" w:hAnsi="Times New Roman"/>
          <w:color w:val="000000"/>
          <w:lang w:val="x-none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</w:t>
      </w:r>
      <w:r w:rsidR="00767E96" w:rsidRPr="00F644F0">
        <w:rPr>
          <w:rFonts w:ascii="Times New Roman" w:hAnsi="Times New Roman"/>
          <w:i/>
          <w:iCs/>
          <w:color w:val="3D3D3D"/>
          <w:bdr w:val="none" w:sz="0" w:space="0" w:color="auto" w:frame="1"/>
          <w14:ligatures w14:val="none"/>
        </w:rPr>
        <w:t>People v Flinn</w:t>
      </w:r>
      <w:r w:rsidR="00767E96" w:rsidRPr="00F644F0">
        <w:rPr>
          <w:rFonts w:ascii="Times New Roman" w:hAnsi="Times New Roman"/>
          <w:color w:val="000000"/>
          <w14:ligatures w14:val="none"/>
        </w:rPr>
        <w:t>, 22 NY3d 599, 602 [2014]</w:t>
      </w:r>
      <w:r w:rsidR="00F644F0">
        <w:rPr>
          <w:rFonts w:ascii="Times New Roman" w:hAnsi="Times New Roman"/>
          <w:color w:val="000000"/>
          <w14:ligatures w14:val="none"/>
        </w:rPr>
        <w:t xml:space="preserve"> </w:t>
      </w:r>
      <w:r w:rsidR="00767E96" w:rsidRPr="00F644F0">
        <w:rPr>
          <w:rFonts w:ascii="Times New Roman" w:hAnsi="Times New Roman"/>
          <w:color w:val="000000"/>
          <w14:ligatures w14:val="none"/>
        </w:rPr>
        <w:t>[</w:t>
      </w:r>
      <w:r w:rsidR="00767E96" w:rsidRPr="00767E96">
        <w:rPr>
          <w:rFonts w:ascii="Times New Roman" w:hAnsi="Times New Roman"/>
          <w:color w:val="000000"/>
          <w14:ligatures w14:val="none"/>
        </w:rPr>
        <w:t xml:space="preserve">"a lawyer may waive the </w:t>
      </w:r>
      <w:r w:rsidR="00767E96" w:rsidRPr="00767E96">
        <w:rPr>
          <w:rFonts w:ascii="Times New Roman" w:hAnsi="Times New Roman"/>
          <w:i/>
          <w:iCs/>
          <w:color w:val="3D3D3D"/>
          <w:bdr w:val="none" w:sz="0" w:space="0" w:color="auto" w:frame="1"/>
          <w14:ligatures w14:val="none"/>
        </w:rPr>
        <w:t>Antommarchi</w:t>
      </w:r>
      <w:r w:rsidR="00767E96" w:rsidRPr="00767E96">
        <w:rPr>
          <w:rFonts w:ascii="Times New Roman" w:hAnsi="Times New Roman"/>
          <w:color w:val="000000"/>
          <w14:ligatures w14:val="none"/>
        </w:rPr>
        <w:t xml:space="preserve"> right of his or her client"</w:t>
      </w:r>
      <w:r w:rsidR="00767E96" w:rsidRPr="00F644F0">
        <w:rPr>
          <w:rFonts w:ascii="Times New Roman" w:hAnsi="Times New Roman"/>
          <w:color w:val="000000"/>
          <w14:ligatures w14:val="none"/>
        </w:rPr>
        <w:t>].</w:t>
      </w:r>
    </w:p>
    <w:p w14:paraId="3ECEDF5E" w14:textId="2850F955" w:rsidR="002E5148" w:rsidRPr="00F644F0" w:rsidRDefault="002E5148" w:rsidP="002E5148">
      <w:pPr>
        <w:pStyle w:val="EndnoteText"/>
        <w:jc w:val="both"/>
        <w:rPr>
          <w:rFonts w:ascii="Times New Roman" w:hAnsi="Times New Roman"/>
        </w:rPr>
      </w:pPr>
    </w:p>
  </w:endnote>
  <w:endnote w:id="7">
    <w:p w14:paraId="55AC0478" w14:textId="2657D3DE" w:rsidR="004F72D9" w:rsidRPr="00F644F0" w:rsidRDefault="004F72D9" w:rsidP="004F72D9">
      <w:pPr>
        <w:jc w:val="both"/>
        <w:rPr>
          <w:rFonts w:ascii="Times New Roman" w:hAnsi="Times New Roman"/>
          <w:color w:val="000000"/>
        </w:rPr>
      </w:pPr>
      <w:r w:rsidRPr="00F644F0">
        <w:rPr>
          <w:rStyle w:val="EndnoteReference"/>
          <w:rFonts w:ascii="Times New Roman" w:hAnsi="Times New Roman"/>
        </w:rPr>
        <w:endnoteRef/>
      </w:r>
      <w:r w:rsidRPr="00F644F0">
        <w:rPr>
          <w:rFonts w:ascii="Times New Roman" w:hAnsi="Times New Roman"/>
        </w:rPr>
        <w:t xml:space="preserve"> </w:t>
      </w:r>
      <w:r w:rsidRPr="00F644F0">
        <w:rPr>
          <w:rFonts w:ascii="Times New Roman" w:hAnsi="Times New Roman"/>
          <w:i/>
          <w:color w:val="000000"/>
          <w:lang w:val="x-none"/>
        </w:rPr>
        <w:t>People v. Williams</w:t>
      </w:r>
      <w:r w:rsidR="003F795B" w:rsidRPr="00F644F0">
        <w:rPr>
          <w:rFonts w:ascii="Times New Roman" w:hAnsi="Times New Roman"/>
          <w:i/>
          <w:color w:val="000000"/>
        </w:rPr>
        <w:t xml:space="preserve"> </w:t>
      </w:r>
      <w:r w:rsidR="003F795B" w:rsidRPr="00F644F0">
        <w:rPr>
          <w:rFonts w:ascii="Times New Roman" w:hAnsi="Times New Roman"/>
          <w:iCs/>
          <w:color w:val="000000"/>
        </w:rPr>
        <w:t>[</w:t>
      </w:r>
      <w:r w:rsidR="003F795B" w:rsidRPr="00F644F0">
        <w:rPr>
          <w:rFonts w:ascii="Times New Roman" w:hAnsi="Times New Roman"/>
          <w:i/>
          <w:color w:val="000000"/>
        </w:rPr>
        <w:t>Janvier</w:t>
      </w:r>
      <w:r w:rsidR="003F795B" w:rsidRPr="00F644F0">
        <w:rPr>
          <w:rFonts w:ascii="Times New Roman" w:hAnsi="Times New Roman"/>
          <w:iCs/>
          <w:color w:val="000000"/>
        </w:rPr>
        <w:t>]</w:t>
      </w:r>
      <w:r w:rsidRPr="00F644F0">
        <w:rPr>
          <w:rFonts w:ascii="Times New Roman" w:hAnsi="Times New Roman"/>
          <w:iCs/>
          <w:color w:val="000000"/>
          <w:lang w:val="x-none"/>
        </w:rPr>
        <w:t>,</w:t>
      </w:r>
      <w:r w:rsidRPr="00F644F0">
        <w:rPr>
          <w:rFonts w:ascii="Times New Roman" w:hAnsi="Times New Roman"/>
          <w:i/>
          <w:color w:val="000000"/>
          <w:lang w:val="x-none"/>
        </w:rPr>
        <w:t xml:space="preserve"> </w:t>
      </w:r>
      <w:r w:rsidRPr="00F644F0">
        <w:rPr>
          <w:rFonts w:ascii="Times New Roman" w:hAnsi="Times New Roman"/>
          <w:color w:val="000000"/>
          <w:lang w:val="x-none"/>
        </w:rPr>
        <w:t>92</w:t>
      </w:r>
      <w:r w:rsidRPr="00F644F0">
        <w:rPr>
          <w:rFonts w:ascii="Times New Roman" w:hAnsi="Times New Roman"/>
          <w:color w:val="000000"/>
        </w:rPr>
        <w:t xml:space="preserve"> </w:t>
      </w:r>
      <w:r w:rsidRPr="00F644F0">
        <w:rPr>
          <w:rFonts w:ascii="Times New Roman" w:hAnsi="Times New Roman"/>
          <w:color w:val="000000"/>
          <w:lang w:val="x-none"/>
        </w:rPr>
        <w:t xml:space="preserve">N.Y.2d 993 </w:t>
      </w:r>
      <w:r w:rsidR="00E564E5" w:rsidRPr="00F644F0">
        <w:rPr>
          <w:rFonts w:ascii="Times New Roman" w:hAnsi="Times New Roman"/>
          <w:color w:val="000000"/>
        </w:rPr>
        <w:t>[</w:t>
      </w:r>
      <w:r w:rsidRPr="00F644F0">
        <w:rPr>
          <w:rFonts w:ascii="Times New Roman" w:hAnsi="Times New Roman"/>
          <w:color w:val="000000"/>
          <w:lang w:val="x-none"/>
        </w:rPr>
        <w:t>1998</w:t>
      </w:r>
      <w:r w:rsidR="003F795B" w:rsidRPr="00F644F0">
        <w:rPr>
          <w:rFonts w:ascii="Times New Roman" w:hAnsi="Times New Roman"/>
          <w:color w:val="000000"/>
        </w:rPr>
        <w:t>]</w:t>
      </w:r>
      <w:r w:rsidR="000747D5" w:rsidRPr="00F644F0">
        <w:rPr>
          <w:rFonts w:ascii="Times New Roman" w:hAnsi="Times New Roman"/>
          <w:color w:val="000000"/>
        </w:rPr>
        <w:t xml:space="preserve"> </w:t>
      </w:r>
      <w:r w:rsidR="00AD7A84">
        <w:rPr>
          <w:rFonts w:ascii="Times New Roman" w:hAnsi="Times New Roman"/>
          <w:color w:val="000000"/>
        </w:rPr>
        <w:t>[</w:t>
      </w:r>
      <w:r w:rsidR="000747D5" w:rsidRPr="00F644F0">
        <w:rPr>
          <w:rFonts w:ascii="Times New Roman" w:hAnsi="Times New Roman"/>
          <w:color w:val="000000"/>
        </w:rPr>
        <w:t xml:space="preserve">the </w:t>
      </w:r>
      <w:r w:rsidR="003F795B" w:rsidRPr="004914E7">
        <w:rPr>
          <w:rFonts w:ascii="Times New Roman" w:hAnsi="Times New Roman"/>
          <w:i/>
          <w:iCs/>
          <w:color w:val="000000"/>
        </w:rPr>
        <w:t>J</w:t>
      </w:r>
      <w:r w:rsidR="005C6D18" w:rsidRPr="004914E7">
        <w:rPr>
          <w:rFonts w:ascii="Times New Roman" w:hAnsi="Times New Roman"/>
          <w:i/>
          <w:iCs/>
          <w:color w:val="000000"/>
        </w:rPr>
        <w:t>anvier</w:t>
      </w:r>
      <w:r w:rsidR="00A10C0A">
        <w:rPr>
          <w:rFonts w:ascii="Times New Roman" w:hAnsi="Times New Roman"/>
          <w:color w:val="000000"/>
        </w:rPr>
        <w:t xml:space="preserve"> trial</w:t>
      </w:r>
      <w:r w:rsidR="005C6D18" w:rsidRPr="00F644F0">
        <w:rPr>
          <w:rFonts w:ascii="Times New Roman" w:hAnsi="Times New Roman"/>
          <w:color w:val="000000"/>
        </w:rPr>
        <w:t xml:space="preserve"> </w:t>
      </w:r>
      <w:r w:rsidR="000747D5" w:rsidRPr="00F644F0">
        <w:rPr>
          <w:rFonts w:ascii="Times New Roman" w:hAnsi="Times New Roman"/>
          <w:color w:val="000000"/>
        </w:rPr>
        <w:t xml:space="preserve">court </w:t>
      </w:r>
      <w:r w:rsidR="005C6D18" w:rsidRPr="00F644F0">
        <w:rPr>
          <w:rFonts w:ascii="Times New Roman" w:hAnsi="Times New Roman"/>
          <w:color w:val="000000"/>
        </w:rPr>
        <w:t>erred in refusing to a</w:t>
      </w:r>
      <w:r w:rsidR="000747D5" w:rsidRPr="00F644F0">
        <w:rPr>
          <w:rFonts w:ascii="Times New Roman" w:hAnsi="Times New Roman"/>
          <w:color w:val="000000"/>
        </w:rPr>
        <w:t>ccept the defendant’s waiver</w:t>
      </w:r>
      <w:r w:rsidR="005C6D18" w:rsidRPr="00F644F0">
        <w:rPr>
          <w:rFonts w:ascii="Times New Roman" w:hAnsi="Times New Roman"/>
          <w:color w:val="000000"/>
        </w:rPr>
        <w:t xml:space="preserve">; the </w:t>
      </w:r>
      <w:r w:rsidR="005C6D18" w:rsidRPr="004914E7">
        <w:rPr>
          <w:rFonts w:ascii="Times New Roman" w:hAnsi="Times New Roman"/>
          <w:i/>
          <w:iCs/>
          <w:color w:val="000000"/>
        </w:rPr>
        <w:t>Williams</w:t>
      </w:r>
      <w:r w:rsidR="005C6D18" w:rsidRPr="00F644F0">
        <w:rPr>
          <w:rFonts w:ascii="Times New Roman" w:hAnsi="Times New Roman"/>
          <w:color w:val="000000"/>
        </w:rPr>
        <w:t xml:space="preserve"> </w:t>
      </w:r>
      <w:r w:rsidR="00A10C0A">
        <w:rPr>
          <w:rFonts w:ascii="Times New Roman" w:hAnsi="Times New Roman"/>
          <w:color w:val="000000"/>
        </w:rPr>
        <w:t xml:space="preserve">trial </w:t>
      </w:r>
      <w:r w:rsidR="005C6D18" w:rsidRPr="00F644F0">
        <w:rPr>
          <w:rFonts w:ascii="Times New Roman" w:hAnsi="Times New Roman"/>
          <w:color w:val="000000"/>
        </w:rPr>
        <w:t>court did not err</w:t>
      </w:r>
      <w:r w:rsidR="00FC7CC3" w:rsidRPr="00F644F0">
        <w:rPr>
          <w:rFonts w:ascii="Times New Roman" w:hAnsi="Times New Roman"/>
          <w:color w:val="000000"/>
        </w:rPr>
        <w:t xml:space="preserve"> in refusing to </w:t>
      </w:r>
      <w:r w:rsidR="00A84C65" w:rsidRPr="00F644F0">
        <w:rPr>
          <w:rFonts w:ascii="Times New Roman" w:hAnsi="Times New Roman"/>
          <w:color w:val="000000"/>
        </w:rPr>
        <w:t>permit the defendant to rescind the waive</w:t>
      </w:r>
      <w:r w:rsidR="00FC7CC3" w:rsidRPr="00F644F0">
        <w:rPr>
          <w:rFonts w:ascii="Times New Roman" w:hAnsi="Times New Roman"/>
          <w:color w:val="000000"/>
        </w:rPr>
        <w:t>r</w:t>
      </w:r>
      <w:r w:rsidR="00AD7A84">
        <w:rPr>
          <w:rFonts w:ascii="Times New Roman" w:hAnsi="Times New Roman"/>
          <w:color w:val="000000"/>
        </w:rPr>
        <w:t>]</w:t>
      </w:r>
      <w:r w:rsidR="00FC7CC3" w:rsidRPr="00F644F0">
        <w:rPr>
          <w:rFonts w:ascii="Times New Roman" w:hAnsi="Times New Roman"/>
          <w:color w:val="000000"/>
        </w:rPr>
        <w:t>.</w:t>
      </w:r>
    </w:p>
    <w:p w14:paraId="22A04667" w14:textId="43344FF4" w:rsidR="004F72D9" w:rsidRPr="00F644F0" w:rsidRDefault="004F72D9">
      <w:pPr>
        <w:pStyle w:val="EndnoteText"/>
        <w:rPr>
          <w:rFonts w:ascii="Times New Roman" w:hAnsi="Times New Roman"/>
        </w:rPr>
      </w:pPr>
    </w:p>
  </w:endnote>
  <w:endnote w:id="8">
    <w:p w14:paraId="130F7B4A" w14:textId="63C50E22" w:rsidR="00AA3716" w:rsidRPr="00F644F0" w:rsidRDefault="00851795" w:rsidP="00B634EB">
      <w:pPr>
        <w:pStyle w:val="NoSpacing"/>
        <w:jc w:val="both"/>
      </w:pPr>
      <w:r w:rsidRPr="00F644F0">
        <w:rPr>
          <w:rStyle w:val="EndnoteReference"/>
        </w:rPr>
        <w:endnoteRef/>
      </w:r>
      <w:r w:rsidRPr="00F644F0">
        <w:t xml:space="preserve"> </w:t>
      </w:r>
      <w:r w:rsidR="00AA3716" w:rsidRPr="00F644F0">
        <w:rPr>
          <w:i/>
          <w:iCs/>
          <w:color w:val="3D3D3D"/>
          <w:bdr w:val="none" w:sz="0" w:space="0" w:color="auto" w:frame="1"/>
        </w:rPr>
        <w:t>People v Velasquez</w:t>
      </w:r>
      <w:r w:rsidR="00AA3716" w:rsidRPr="00F644F0">
        <w:t>, 1 NY3d 44, 49 [2003]</w:t>
      </w:r>
      <w:r w:rsidR="001D5E41" w:rsidRPr="00F644F0">
        <w:t xml:space="preserve"> [</w:t>
      </w:r>
      <w:r w:rsidR="00AA3716" w:rsidRPr="00F644F0">
        <w:t xml:space="preserve">"In accepting an </w:t>
      </w:r>
      <w:r w:rsidR="00AA3716" w:rsidRPr="00F644F0">
        <w:rPr>
          <w:i/>
          <w:iCs/>
          <w:color w:val="3D3D3D"/>
          <w:bdr w:val="none" w:sz="0" w:space="0" w:color="auto" w:frame="1"/>
        </w:rPr>
        <w:t>Antommarchi</w:t>
      </w:r>
      <w:r w:rsidR="00AA3716" w:rsidRPr="00F644F0">
        <w:t xml:space="preserve"> waiver offered by defense counsel on a defendant's behalf, a trial court need not engage the defendant in an on-the-record colloquy to ensure the requisite voluntary, knowing and intelligent nature of the waiver"</w:t>
      </w:r>
      <w:r w:rsidR="00B634EB" w:rsidRPr="00F644F0">
        <w:t>].</w:t>
      </w:r>
    </w:p>
    <w:p w14:paraId="298D4EFE" w14:textId="53F981E6" w:rsidR="00851795" w:rsidRPr="00F644F0" w:rsidRDefault="00851795" w:rsidP="00AA3716">
      <w:pPr>
        <w:widowControl/>
        <w:snapToGrid w:val="0"/>
        <w:rPr>
          <w:rFonts w:ascii="Times New Roman" w:hAnsi="Times New Roman"/>
        </w:rPr>
      </w:pPr>
    </w:p>
    <w:p w14:paraId="3A56DA77" w14:textId="77777777" w:rsidR="00EF253B" w:rsidRPr="00F644F0" w:rsidRDefault="00EF253B">
      <w:pPr>
        <w:pStyle w:val="EndnoteText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314D5" w14:textId="77777777" w:rsidR="000C3C65" w:rsidRDefault="000C3C65" w:rsidP="00CB0356">
      <w:r>
        <w:separator/>
      </w:r>
    </w:p>
  </w:footnote>
  <w:footnote w:type="continuationSeparator" w:id="0">
    <w:p w14:paraId="16B78DA4" w14:textId="77777777" w:rsidR="000C3C65" w:rsidRDefault="000C3C65" w:rsidP="00CB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F0610"/>
    <w:multiLevelType w:val="hybridMultilevel"/>
    <w:tmpl w:val="CB04E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56"/>
    <w:rsid w:val="000123F9"/>
    <w:rsid w:val="00017067"/>
    <w:rsid w:val="00031F2C"/>
    <w:rsid w:val="00036F1D"/>
    <w:rsid w:val="0004768B"/>
    <w:rsid w:val="00057486"/>
    <w:rsid w:val="000578D2"/>
    <w:rsid w:val="00061243"/>
    <w:rsid w:val="00065F23"/>
    <w:rsid w:val="000747D5"/>
    <w:rsid w:val="00090272"/>
    <w:rsid w:val="000A4D58"/>
    <w:rsid w:val="000B071B"/>
    <w:rsid w:val="000C0155"/>
    <w:rsid w:val="000C1C8D"/>
    <w:rsid w:val="000C3C65"/>
    <w:rsid w:val="00104E3A"/>
    <w:rsid w:val="00107997"/>
    <w:rsid w:val="00137DE9"/>
    <w:rsid w:val="001510F1"/>
    <w:rsid w:val="0015523A"/>
    <w:rsid w:val="00161A84"/>
    <w:rsid w:val="001652DD"/>
    <w:rsid w:val="001705BE"/>
    <w:rsid w:val="00170DCB"/>
    <w:rsid w:val="001806A1"/>
    <w:rsid w:val="001904D0"/>
    <w:rsid w:val="00191932"/>
    <w:rsid w:val="00192A92"/>
    <w:rsid w:val="00197909"/>
    <w:rsid w:val="001A720F"/>
    <w:rsid w:val="001B4046"/>
    <w:rsid w:val="001B63F2"/>
    <w:rsid w:val="001C634B"/>
    <w:rsid w:val="001D1286"/>
    <w:rsid w:val="001D5E41"/>
    <w:rsid w:val="001E37BF"/>
    <w:rsid w:val="001E7ABC"/>
    <w:rsid w:val="001F62A4"/>
    <w:rsid w:val="00210D42"/>
    <w:rsid w:val="00214F26"/>
    <w:rsid w:val="00216B86"/>
    <w:rsid w:val="0022525A"/>
    <w:rsid w:val="00230D46"/>
    <w:rsid w:val="00234E28"/>
    <w:rsid w:val="0024073B"/>
    <w:rsid w:val="00254815"/>
    <w:rsid w:val="00260A14"/>
    <w:rsid w:val="00271926"/>
    <w:rsid w:val="00275734"/>
    <w:rsid w:val="00280056"/>
    <w:rsid w:val="0028168C"/>
    <w:rsid w:val="00285F23"/>
    <w:rsid w:val="0028665F"/>
    <w:rsid w:val="002A0391"/>
    <w:rsid w:val="002A308A"/>
    <w:rsid w:val="002A3A11"/>
    <w:rsid w:val="002B1331"/>
    <w:rsid w:val="002D3915"/>
    <w:rsid w:val="002D402B"/>
    <w:rsid w:val="002E39FD"/>
    <w:rsid w:val="002E5148"/>
    <w:rsid w:val="00301427"/>
    <w:rsid w:val="003035A9"/>
    <w:rsid w:val="003111BA"/>
    <w:rsid w:val="00315325"/>
    <w:rsid w:val="00341443"/>
    <w:rsid w:val="00341EF2"/>
    <w:rsid w:val="00345090"/>
    <w:rsid w:val="00345EA7"/>
    <w:rsid w:val="00377111"/>
    <w:rsid w:val="0039062F"/>
    <w:rsid w:val="00394688"/>
    <w:rsid w:val="00395D3B"/>
    <w:rsid w:val="003A3370"/>
    <w:rsid w:val="003A4F5F"/>
    <w:rsid w:val="003B3C63"/>
    <w:rsid w:val="003C29FA"/>
    <w:rsid w:val="003C2D06"/>
    <w:rsid w:val="003C2FCC"/>
    <w:rsid w:val="003D0622"/>
    <w:rsid w:val="003D3555"/>
    <w:rsid w:val="003D5124"/>
    <w:rsid w:val="003E233A"/>
    <w:rsid w:val="003E7BA9"/>
    <w:rsid w:val="003F0E55"/>
    <w:rsid w:val="003F795B"/>
    <w:rsid w:val="0040033A"/>
    <w:rsid w:val="00403670"/>
    <w:rsid w:val="00404E67"/>
    <w:rsid w:val="00404ED7"/>
    <w:rsid w:val="004105C1"/>
    <w:rsid w:val="004142D0"/>
    <w:rsid w:val="00433A5B"/>
    <w:rsid w:val="00446481"/>
    <w:rsid w:val="00454D0C"/>
    <w:rsid w:val="00457806"/>
    <w:rsid w:val="00461D12"/>
    <w:rsid w:val="00474FE2"/>
    <w:rsid w:val="00475B6B"/>
    <w:rsid w:val="004914E7"/>
    <w:rsid w:val="004A1AC3"/>
    <w:rsid w:val="004B00F4"/>
    <w:rsid w:val="004B0498"/>
    <w:rsid w:val="004B30D9"/>
    <w:rsid w:val="004C5E96"/>
    <w:rsid w:val="004D0DE7"/>
    <w:rsid w:val="004D27D6"/>
    <w:rsid w:val="004D38B3"/>
    <w:rsid w:val="004E56B5"/>
    <w:rsid w:val="004F42E2"/>
    <w:rsid w:val="004F6D38"/>
    <w:rsid w:val="004F72D9"/>
    <w:rsid w:val="00502A45"/>
    <w:rsid w:val="005034D7"/>
    <w:rsid w:val="005267A9"/>
    <w:rsid w:val="00563AAF"/>
    <w:rsid w:val="00570E4B"/>
    <w:rsid w:val="00576FE3"/>
    <w:rsid w:val="00585028"/>
    <w:rsid w:val="00595AF8"/>
    <w:rsid w:val="005A06FA"/>
    <w:rsid w:val="005C5F53"/>
    <w:rsid w:val="005C6D18"/>
    <w:rsid w:val="005C744A"/>
    <w:rsid w:val="005D3674"/>
    <w:rsid w:val="005E5417"/>
    <w:rsid w:val="005F15E9"/>
    <w:rsid w:val="005F78AD"/>
    <w:rsid w:val="00607202"/>
    <w:rsid w:val="00611D91"/>
    <w:rsid w:val="00640B95"/>
    <w:rsid w:val="00641120"/>
    <w:rsid w:val="0064449E"/>
    <w:rsid w:val="006471FC"/>
    <w:rsid w:val="0066333C"/>
    <w:rsid w:val="006650E6"/>
    <w:rsid w:val="00670D81"/>
    <w:rsid w:val="006822F3"/>
    <w:rsid w:val="00697E3A"/>
    <w:rsid w:val="006B5703"/>
    <w:rsid w:val="006B7884"/>
    <w:rsid w:val="006C0458"/>
    <w:rsid w:val="006C5459"/>
    <w:rsid w:val="006C54AB"/>
    <w:rsid w:val="006D1CC3"/>
    <w:rsid w:val="006D3D1C"/>
    <w:rsid w:val="006D3EE4"/>
    <w:rsid w:val="006F6B73"/>
    <w:rsid w:val="00703724"/>
    <w:rsid w:val="00707877"/>
    <w:rsid w:val="00715670"/>
    <w:rsid w:val="0071686D"/>
    <w:rsid w:val="0071687B"/>
    <w:rsid w:val="007470F0"/>
    <w:rsid w:val="00747C73"/>
    <w:rsid w:val="007545DD"/>
    <w:rsid w:val="0076451C"/>
    <w:rsid w:val="007661BA"/>
    <w:rsid w:val="00767E96"/>
    <w:rsid w:val="007753E3"/>
    <w:rsid w:val="007818C8"/>
    <w:rsid w:val="007825E0"/>
    <w:rsid w:val="007C0073"/>
    <w:rsid w:val="007D48CF"/>
    <w:rsid w:val="007D6BD7"/>
    <w:rsid w:val="008126F9"/>
    <w:rsid w:val="0081285B"/>
    <w:rsid w:val="00814472"/>
    <w:rsid w:val="00830996"/>
    <w:rsid w:val="00851795"/>
    <w:rsid w:val="00851D8C"/>
    <w:rsid w:val="00856A71"/>
    <w:rsid w:val="00864EB0"/>
    <w:rsid w:val="0087215C"/>
    <w:rsid w:val="00875921"/>
    <w:rsid w:val="0088579B"/>
    <w:rsid w:val="00890D37"/>
    <w:rsid w:val="0089694E"/>
    <w:rsid w:val="008A12FE"/>
    <w:rsid w:val="008C009D"/>
    <w:rsid w:val="008D6898"/>
    <w:rsid w:val="008E054B"/>
    <w:rsid w:val="008F4156"/>
    <w:rsid w:val="00903A5C"/>
    <w:rsid w:val="009117E4"/>
    <w:rsid w:val="00920F63"/>
    <w:rsid w:val="00930697"/>
    <w:rsid w:val="00940AAA"/>
    <w:rsid w:val="00940D7E"/>
    <w:rsid w:val="00944230"/>
    <w:rsid w:val="00971DAB"/>
    <w:rsid w:val="0097492D"/>
    <w:rsid w:val="00981976"/>
    <w:rsid w:val="00997CF2"/>
    <w:rsid w:val="009A3D1B"/>
    <w:rsid w:val="009A4F20"/>
    <w:rsid w:val="009A5676"/>
    <w:rsid w:val="009A5CC9"/>
    <w:rsid w:val="009B5C15"/>
    <w:rsid w:val="009C53B4"/>
    <w:rsid w:val="009E41ED"/>
    <w:rsid w:val="009E6219"/>
    <w:rsid w:val="00A10C0A"/>
    <w:rsid w:val="00A14FBC"/>
    <w:rsid w:val="00A15BA3"/>
    <w:rsid w:val="00A15E40"/>
    <w:rsid w:val="00A40B81"/>
    <w:rsid w:val="00A442EB"/>
    <w:rsid w:val="00A53A15"/>
    <w:rsid w:val="00A55D92"/>
    <w:rsid w:val="00A649A0"/>
    <w:rsid w:val="00A64F22"/>
    <w:rsid w:val="00A84B02"/>
    <w:rsid w:val="00A84C65"/>
    <w:rsid w:val="00A87FB5"/>
    <w:rsid w:val="00AA3716"/>
    <w:rsid w:val="00AD48FC"/>
    <w:rsid w:val="00AD7A84"/>
    <w:rsid w:val="00AE19B6"/>
    <w:rsid w:val="00AE3F48"/>
    <w:rsid w:val="00AE4BA9"/>
    <w:rsid w:val="00AF56C5"/>
    <w:rsid w:val="00AF78B9"/>
    <w:rsid w:val="00B018A6"/>
    <w:rsid w:val="00B11AF5"/>
    <w:rsid w:val="00B20E56"/>
    <w:rsid w:val="00B52268"/>
    <w:rsid w:val="00B56C1A"/>
    <w:rsid w:val="00B6216C"/>
    <w:rsid w:val="00B63085"/>
    <w:rsid w:val="00B634EB"/>
    <w:rsid w:val="00B661DB"/>
    <w:rsid w:val="00B66D92"/>
    <w:rsid w:val="00B67587"/>
    <w:rsid w:val="00B7484D"/>
    <w:rsid w:val="00B82678"/>
    <w:rsid w:val="00B85429"/>
    <w:rsid w:val="00B96E5B"/>
    <w:rsid w:val="00BA0425"/>
    <w:rsid w:val="00BA2B5C"/>
    <w:rsid w:val="00BB035A"/>
    <w:rsid w:val="00BC165E"/>
    <w:rsid w:val="00BC1ABC"/>
    <w:rsid w:val="00BC509B"/>
    <w:rsid w:val="00BE6C54"/>
    <w:rsid w:val="00BF571D"/>
    <w:rsid w:val="00C32BDE"/>
    <w:rsid w:val="00C352DC"/>
    <w:rsid w:val="00C4115B"/>
    <w:rsid w:val="00C41D76"/>
    <w:rsid w:val="00C4497F"/>
    <w:rsid w:val="00C53C72"/>
    <w:rsid w:val="00C65CEC"/>
    <w:rsid w:val="00C72E2F"/>
    <w:rsid w:val="00C77AC9"/>
    <w:rsid w:val="00C82548"/>
    <w:rsid w:val="00C85C10"/>
    <w:rsid w:val="00C96466"/>
    <w:rsid w:val="00CA58EF"/>
    <w:rsid w:val="00CA5DB9"/>
    <w:rsid w:val="00CA6AE4"/>
    <w:rsid w:val="00CB028B"/>
    <w:rsid w:val="00CB0356"/>
    <w:rsid w:val="00CB51BF"/>
    <w:rsid w:val="00CC4B96"/>
    <w:rsid w:val="00CE0A2F"/>
    <w:rsid w:val="00CF3640"/>
    <w:rsid w:val="00D05D72"/>
    <w:rsid w:val="00D12DC8"/>
    <w:rsid w:val="00D17ECA"/>
    <w:rsid w:val="00D40C30"/>
    <w:rsid w:val="00D433D3"/>
    <w:rsid w:val="00D54ABA"/>
    <w:rsid w:val="00D5617D"/>
    <w:rsid w:val="00D566CD"/>
    <w:rsid w:val="00D61C8F"/>
    <w:rsid w:val="00D80EEB"/>
    <w:rsid w:val="00D87D82"/>
    <w:rsid w:val="00DA026E"/>
    <w:rsid w:val="00DA11BA"/>
    <w:rsid w:val="00DA1D2C"/>
    <w:rsid w:val="00DA289A"/>
    <w:rsid w:val="00DA29A5"/>
    <w:rsid w:val="00DB0C46"/>
    <w:rsid w:val="00DD17DB"/>
    <w:rsid w:val="00DD27D7"/>
    <w:rsid w:val="00DE19FB"/>
    <w:rsid w:val="00DF586F"/>
    <w:rsid w:val="00E14619"/>
    <w:rsid w:val="00E16245"/>
    <w:rsid w:val="00E21CF9"/>
    <w:rsid w:val="00E31DAF"/>
    <w:rsid w:val="00E44959"/>
    <w:rsid w:val="00E53E56"/>
    <w:rsid w:val="00E564E5"/>
    <w:rsid w:val="00E73CF8"/>
    <w:rsid w:val="00E75596"/>
    <w:rsid w:val="00E86718"/>
    <w:rsid w:val="00E93F9B"/>
    <w:rsid w:val="00E97CAC"/>
    <w:rsid w:val="00EA1F3F"/>
    <w:rsid w:val="00EB0A79"/>
    <w:rsid w:val="00EC33C5"/>
    <w:rsid w:val="00EC36A1"/>
    <w:rsid w:val="00EE28AA"/>
    <w:rsid w:val="00EE4A15"/>
    <w:rsid w:val="00EF253B"/>
    <w:rsid w:val="00EF6D6A"/>
    <w:rsid w:val="00F061C6"/>
    <w:rsid w:val="00F2184C"/>
    <w:rsid w:val="00F3762C"/>
    <w:rsid w:val="00F4364A"/>
    <w:rsid w:val="00F52904"/>
    <w:rsid w:val="00F644F0"/>
    <w:rsid w:val="00FB30B7"/>
    <w:rsid w:val="00FC59F6"/>
    <w:rsid w:val="00FC7CC3"/>
    <w:rsid w:val="00FE1BCB"/>
    <w:rsid w:val="00FE2548"/>
    <w:rsid w:val="00FE282C"/>
    <w:rsid w:val="00FE6BE5"/>
    <w:rsid w:val="00FF0B23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942F"/>
  <w15:chartTrackingRefBased/>
  <w15:docId w15:val="{F8AEE771-AF5A-41CB-8FC7-045994D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56"/>
    <w:pPr>
      <w:widowControl w:val="0"/>
      <w:autoSpaceDE w:val="0"/>
      <w:autoSpaceDN w:val="0"/>
      <w:adjustRightInd w:val="0"/>
      <w:spacing w:before="0"/>
    </w:pPr>
    <w:rPr>
      <w:rFonts w:ascii="Courier" w:eastAsia="Times New Roman" w:hAnsi="Courier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3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3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3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3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3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3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FootnoteText">
    <w:name w:val="footnote text"/>
    <w:basedOn w:val="Normal"/>
    <w:link w:val="FootnoteTextChar"/>
    <w:uiPriority w:val="99"/>
    <w:rsid w:val="006F6B73"/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CB0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3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3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3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3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3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3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03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3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3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03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3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3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03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3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0356"/>
    <w:rPr>
      <w:b/>
      <w:bCs/>
      <w:smallCaps/>
      <w:color w:val="0F4761" w:themeColor="accent1" w:themeShade="BF"/>
      <w:spacing w:val="5"/>
    </w:rPr>
  </w:style>
  <w:style w:type="character" w:customStyle="1" w:styleId="cf01">
    <w:name w:val="cf01"/>
    <w:basedOn w:val="DefaultParagraphFont"/>
    <w:rsid w:val="00FE1BCB"/>
    <w:rPr>
      <w:rFonts w:ascii="Segoe UI" w:hAnsi="Segoe UI" w:cs="Segoe UI" w:hint="default"/>
      <w:color w:val="262626"/>
      <w:sz w:val="64"/>
      <w:szCs w:val="6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622"/>
    <w:pPr>
      <w:widowControl/>
      <w:autoSpaceDE/>
      <w:autoSpaceDN/>
      <w:adjustRightInd/>
    </w:pPr>
    <w:rPr>
      <w:rFonts w:ascii="Calibri" w:hAnsi="Calibri" w:cstheme="minorBidi"/>
      <w:kern w:val="2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622"/>
    <w:rPr>
      <w:rFonts w:ascii="Calibri" w:eastAsia="Times New Roman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BC16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662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56349311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018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492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24996990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04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440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34952863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196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00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513808925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219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56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064374405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328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747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687756211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337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535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87231067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  <w:div w:id="2029791774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922332587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  <w:div w:id="1875535346">
              <w:marLeft w:val="0"/>
              <w:marRight w:val="0"/>
              <w:marTop w:val="206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754083367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</w:divsChild>
        </w:div>
      </w:divsChild>
    </w:div>
    <w:div w:id="1454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293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</w:div>
      </w:divsChild>
    </w:div>
    <w:div w:id="1699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516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99316946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78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C2C5-EBFD-460B-9418-9E7C6E5D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563</Words>
  <Characters>2835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281</cp:revision>
  <cp:lastPrinted>2024-05-08T16:10:00Z</cp:lastPrinted>
  <dcterms:created xsi:type="dcterms:W3CDTF">2024-01-25T03:44:00Z</dcterms:created>
  <dcterms:modified xsi:type="dcterms:W3CDTF">2024-05-08T16:10:00Z</dcterms:modified>
</cp:coreProperties>
</file>