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ED47" w14:textId="77777777" w:rsidR="003A6274" w:rsidRPr="003B28CB" w:rsidRDefault="003A6274">
      <w:pPr>
        <w:jc w:val="center"/>
        <w:rPr>
          <w:rFonts w:ascii="Arial" w:hAnsi="Arial" w:cs="Arial"/>
          <w:b/>
          <w:bCs/>
          <w:sz w:val="28"/>
          <w:szCs w:val="28"/>
        </w:rPr>
      </w:pPr>
      <w:r w:rsidRPr="003B28CB">
        <w:rPr>
          <w:rFonts w:ascii="Arial" w:hAnsi="Arial" w:cs="Arial"/>
          <w:b/>
          <w:bCs/>
          <w:sz w:val="28"/>
          <w:szCs w:val="28"/>
        </w:rPr>
        <w:t>FAILURE TO REGISTER OR VERIFY AS A SEX OFFENDER</w:t>
      </w:r>
      <w:r w:rsidRPr="003B28CB">
        <w:rPr>
          <w:rStyle w:val="FootnoteReference"/>
          <w:rFonts w:ascii="Arial" w:hAnsi="Arial" w:cs="Arial"/>
          <w:b/>
          <w:bCs/>
          <w:sz w:val="28"/>
          <w:szCs w:val="28"/>
          <w:vertAlign w:val="superscript"/>
        </w:rPr>
        <w:footnoteReference w:id="1"/>
      </w:r>
    </w:p>
    <w:p w14:paraId="12EB90CA" w14:textId="77777777" w:rsidR="003A6274" w:rsidRPr="003B28CB" w:rsidRDefault="003A6274">
      <w:pPr>
        <w:jc w:val="center"/>
        <w:rPr>
          <w:rFonts w:ascii="Arial" w:hAnsi="Arial" w:cs="Arial"/>
          <w:b/>
          <w:bCs/>
          <w:sz w:val="28"/>
          <w:szCs w:val="28"/>
        </w:rPr>
      </w:pPr>
      <w:r w:rsidRPr="003B28CB">
        <w:rPr>
          <w:rFonts w:ascii="Arial" w:hAnsi="Arial" w:cs="Arial"/>
          <w:b/>
          <w:bCs/>
          <w:sz w:val="28"/>
          <w:szCs w:val="28"/>
        </w:rPr>
        <w:t xml:space="preserve">Correction Law </w:t>
      </w:r>
      <w:r w:rsidRPr="003B28CB">
        <w:rPr>
          <w:rFonts w:ascii="Arial" w:hAnsi="Arial" w:cs="Arial"/>
          <w:b/>
          <w:bCs/>
          <w:sz w:val="28"/>
          <w:szCs w:val="28"/>
        </w:rPr>
        <w:sym w:font="WP TypographicSymbols" w:char="0027"/>
      </w:r>
      <w:r w:rsidRPr="003B28CB">
        <w:rPr>
          <w:rFonts w:ascii="Arial" w:hAnsi="Arial" w:cs="Arial"/>
          <w:b/>
          <w:bCs/>
          <w:sz w:val="28"/>
          <w:szCs w:val="28"/>
        </w:rPr>
        <w:t xml:space="preserve"> 168-t</w:t>
      </w:r>
    </w:p>
    <w:p w14:paraId="721E609C" w14:textId="77777777" w:rsidR="003A6274" w:rsidRPr="003B28CB" w:rsidRDefault="003A6274">
      <w:pPr>
        <w:jc w:val="center"/>
        <w:rPr>
          <w:rFonts w:ascii="Arial" w:hAnsi="Arial" w:cs="Arial"/>
          <w:sz w:val="28"/>
          <w:szCs w:val="28"/>
        </w:rPr>
      </w:pPr>
      <w:r w:rsidRPr="003B28CB">
        <w:rPr>
          <w:rFonts w:ascii="Arial" w:hAnsi="Arial" w:cs="Arial"/>
          <w:b/>
          <w:bCs/>
          <w:sz w:val="28"/>
          <w:szCs w:val="28"/>
        </w:rPr>
        <w:t>(Committed on or after Jan. 21, 1996)</w:t>
      </w:r>
    </w:p>
    <w:p w14:paraId="126D289A" w14:textId="77777777" w:rsidR="003A6274" w:rsidRPr="003B28CB" w:rsidRDefault="003A6274">
      <w:pPr>
        <w:jc w:val="center"/>
        <w:rPr>
          <w:rFonts w:ascii="Arial" w:hAnsi="Arial" w:cs="Arial"/>
          <w:sz w:val="28"/>
          <w:szCs w:val="28"/>
        </w:rPr>
      </w:pPr>
    </w:p>
    <w:p w14:paraId="00BB4D07" w14:textId="77777777" w:rsidR="003A6274" w:rsidRPr="003B28CB" w:rsidRDefault="003A6274">
      <w:pPr>
        <w:jc w:val="center"/>
        <w:rPr>
          <w:rFonts w:ascii="Arial" w:hAnsi="Arial" w:cs="Arial"/>
          <w:sz w:val="28"/>
          <w:szCs w:val="28"/>
        </w:rPr>
      </w:pPr>
    </w:p>
    <w:p w14:paraId="2C86B80C" w14:textId="77777777" w:rsidR="003A6274" w:rsidRPr="003B28CB" w:rsidRDefault="003A6274">
      <w:pPr>
        <w:ind w:firstLine="720"/>
        <w:jc w:val="both"/>
        <w:rPr>
          <w:rFonts w:ascii="Arial" w:hAnsi="Arial" w:cs="Arial"/>
          <w:sz w:val="28"/>
          <w:szCs w:val="28"/>
        </w:rPr>
      </w:pPr>
      <w:r w:rsidRPr="003B28CB">
        <w:rPr>
          <w:rFonts w:ascii="Arial" w:hAnsi="Arial" w:cs="Arial"/>
          <w:sz w:val="28"/>
          <w:szCs w:val="28"/>
        </w:rPr>
        <w:t>The (</w:t>
      </w:r>
      <w:r w:rsidRPr="003B28CB">
        <w:rPr>
          <w:rFonts w:ascii="Arial" w:hAnsi="Arial" w:cs="Arial"/>
          <w:i/>
          <w:iCs/>
          <w:sz w:val="28"/>
          <w:szCs w:val="28"/>
          <w:u w:val="single"/>
        </w:rPr>
        <w:t>specify</w:t>
      </w:r>
      <w:r w:rsidRPr="003B28CB">
        <w:rPr>
          <w:rFonts w:ascii="Arial" w:hAnsi="Arial" w:cs="Arial"/>
          <w:sz w:val="28"/>
          <w:szCs w:val="28"/>
        </w:rPr>
        <w:t>) count is Failure to Register or Verify as a Sex Offender.</w:t>
      </w:r>
    </w:p>
    <w:p w14:paraId="474F682C" w14:textId="77777777" w:rsidR="003A6274" w:rsidRPr="003B28CB" w:rsidRDefault="003A6274">
      <w:pPr>
        <w:jc w:val="both"/>
        <w:rPr>
          <w:rFonts w:ascii="Arial" w:hAnsi="Arial" w:cs="Arial"/>
          <w:sz w:val="28"/>
          <w:szCs w:val="28"/>
        </w:rPr>
      </w:pPr>
    </w:p>
    <w:p w14:paraId="4C5C2DB9" w14:textId="77777777" w:rsidR="003A6274" w:rsidRPr="003B28CB" w:rsidRDefault="003A6274">
      <w:pPr>
        <w:ind w:firstLine="720"/>
        <w:jc w:val="both"/>
        <w:rPr>
          <w:rFonts w:ascii="Arial" w:hAnsi="Arial" w:cs="Arial"/>
          <w:sz w:val="28"/>
          <w:szCs w:val="28"/>
        </w:rPr>
      </w:pPr>
      <w:r w:rsidRPr="003B28CB">
        <w:rPr>
          <w:rFonts w:ascii="Arial" w:hAnsi="Arial" w:cs="Arial"/>
          <w:sz w:val="28"/>
          <w:szCs w:val="28"/>
        </w:rPr>
        <w:t>Under our law, any sex offender required to register [or to verify information about himself or herself] pursuant to the provisions of law who fails to register [or verify information about himself or herself] in the manner and within the time periods provided for by law is guilty of a crime.</w:t>
      </w:r>
      <w:r w:rsidRPr="003B28CB">
        <w:rPr>
          <w:rStyle w:val="FootnoteReference"/>
          <w:rFonts w:ascii="Arial" w:hAnsi="Arial" w:cs="Arial"/>
          <w:sz w:val="28"/>
          <w:szCs w:val="28"/>
          <w:vertAlign w:val="superscript"/>
        </w:rPr>
        <w:footnoteReference w:id="2"/>
      </w:r>
    </w:p>
    <w:p w14:paraId="432580E3" w14:textId="77777777" w:rsidR="00B979EE" w:rsidRPr="003B28CB" w:rsidRDefault="00B979EE">
      <w:pPr>
        <w:jc w:val="both"/>
        <w:rPr>
          <w:rFonts w:ascii="Arial" w:hAnsi="Arial" w:cs="Arial"/>
          <w:sz w:val="28"/>
          <w:szCs w:val="28"/>
        </w:rPr>
      </w:pPr>
    </w:p>
    <w:p w14:paraId="12EE7D44" w14:textId="77777777" w:rsidR="003A6274" w:rsidRPr="003B28CB" w:rsidRDefault="003A6274">
      <w:pPr>
        <w:jc w:val="both"/>
        <w:rPr>
          <w:rFonts w:ascii="Arial" w:hAnsi="Arial" w:cs="Arial"/>
          <w:sz w:val="28"/>
          <w:szCs w:val="28"/>
        </w:rPr>
        <w:sectPr w:rsidR="003A6274" w:rsidRPr="003B28CB" w:rsidSect="00783AE2">
          <w:pgSz w:w="12240" w:h="15840"/>
          <w:pgMar w:top="1440" w:right="2160" w:bottom="1440" w:left="2160" w:header="1440" w:footer="1440" w:gutter="0"/>
          <w:cols w:space="720"/>
          <w:noEndnote/>
        </w:sectPr>
      </w:pPr>
    </w:p>
    <w:p w14:paraId="5D193170" w14:textId="77777777" w:rsidR="00DB01A0" w:rsidRDefault="003A6274" w:rsidP="005F1E61">
      <w:pPr>
        <w:ind w:firstLine="720"/>
        <w:jc w:val="both"/>
        <w:rPr>
          <w:rFonts w:ascii="Arial" w:hAnsi="Arial" w:cs="Arial"/>
          <w:sz w:val="28"/>
          <w:szCs w:val="28"/>
        </w:rPr>
      </w:pPr>
      <w:r w:rsidRPr="003B28CB">
        <w:rPr>
          <w:rFonts w:ascii="Arial" w:hAnsi="Arial" w:cs="Arial"/>
          <w:sz w:val="28"/>
          <w:szCs w:val="28"/>
        </w:rPr>
        <w:t xml:space="preserve">To be guilty of this crime, a sex offender must know that he or she is required to register and must know the manner and </w:t>
      </w:r>
      <w:proofErr w:type="gramStart"/>
      <w:r w:rsidRPr="003B28CB">
        <w:rPr>
          <w:rFonts w:ascii="Arial" w:hAnsi="Arial" w:cs="Arial"/>
          <w:sz w:val="28"/>
          <w:szCs w:val="28"/>
        </w:rPr>
        <w:t>time</w:t>
      </w:r>
      <w:proofErr w:type="gramEnd"/>
      <w:r w:rsidRPr="003B28CB">
        <w:rPr>
          <w:rFonts w:ascii="Arial" w:hAnsi="Arial" w:cs="Arial"/>
          <w:sz w:val="28"/>
          <w:szCs w:val="28"/>
        </w:rPr>
        <w:t xml:space="preserve"> </w:t>
      </w:r>
    </w:p>
    <w:p w14:paraId="1E6C229E" w14:textId="77777777" w:rsidR="00DB01A0" w:rsidRDefault="00DB01A0">
      <w:pPr>
        <w:widowControl/>
        <w:autoSpaceDE/>
        <w:autoSpaceDN/>
        <w:adjustRightInd/>
        <w:spacing w:after="160" w:line="259" w:lineRule="auto"/>
        <w:rPr>
          <w:rFonts w:ascii="Arial" w:hAnsi="Arial" w:cs="Arial"/>
          <w:sz w:val="28"/>
          <w:szCs w:val="28"/>
        </w:rPr>
      </w:pPr>
      <w:r>
        <w:rPr>
          <w:rFonts w:ascii="Arial" w:hAnsi="Arial" w:cs="Arial"/>
          <w:sz w:val="28"/>
          <w:szCs w:val="28"/>
        </w:rPr>
        <w:br w:type="page"/>
      </w:r>
    </w:p>
    <w:p w14:paraId="748D05D7" w14:textId="2A8A8063" w:rsidR="005F1E61" w:rsidRPr="005F1E61" w:rsidRDefault="003A6274" w:rsidP="00F01354">
      <w:pPr>
        <w:ind w:left="-720" w:firstLine="720"/>
        <w:jc w:val="both"/>
        <w:rPr>
          <w:rFonts w:ascii="Arial" w:hAnsi="Arial" w:cs="Arial"/>
          <w:sz w:val="28"/>
          <w:szCs w:val="28"/>
        </w:rPr>
      </w:pPr>
      <w:r w:rsidRPr="003B28CB">
        <w:rPr>
          <w:rFonts w:ascii="Arial" w:hAnsi="Arial" w:cs="Arial"/>
          <w:sz w:val="28"/>
          <w:szCs w:val="28"/>
        </w:rPr>
        <w:lastRenderedPageBreak/>
        <w:t>periods within which he or she is required to do so.</w:t>
      </w:r>
      <w:r w:rsidRPr="003B28CB">
        <w:rPr>
          <w:rStyle w:val="FootnoteReference"/>
          <w:rFonts w:ascii="Arial" w:hAnsi="Arial" w:cs="Arial"/>
          <w:sz w:val="28"/>
          <w:szCs w:val="28"/>
          <w:vertAlign w:val="superscript"/>
        </w:rPr>
        <w:footnoteReference w:id="3"/>
      </w:r>
    </w:p>
    <w:p w14:paraId="785A5EDB" w14:textId="77777777" w:rsidR="00DB01A0" w:rsidRDefault="00DB01A0">
      <w:pPr>
        <w:ind w:firstLine="720"/>
        <w:jc w:val="both"/>
        <w:rPr>
          <w:rFonts w:ascii="Arial" w:hAnsi="Arial" w:cs="Arial"/>
          <w:sz w:val="28"/>
          <w:szCs w:val="28"/>
        </w:rPr>
      </w:pPr>
    </w:p>
    <w:p w14:paraId="79CAD044" w14:textId="3578DA45" w:rsidR="003A6274" w:rsidRPr="003B28CB" w:rsidRDefault="003A6274">
      <w:pPr>
        <w:ind w:firstLine="720"/>
        <w:jc w:val="both"/>
        <w:rPr>
          <w:rFonts w:ascii="Arial" w:hAnsi="Arial" w:cs="Arial"/>
          <w:sz w:val="28"/>
          <w:szCs w:val="28"/>
        </w:rPr>
      </w:pPr>
      <w:r w:rsidRPr="003B28CB">
        <w:rPr>
          <w:rFonts w:ascii="Arial" w:hAnsi="Arial" w:cs="Arial"/>
          <w:sz w:val="28"/>
          <w:szCs w:val="28"/>
        </w:rPr>
        <w:t>A sex offender is a person convicted of (</w:t>
      </w:r>
      <w:r w:rsidRPr="003B28CB">
        <w:rPr>
          <w:rFonts w:ascii="Arial" w:hAnsi="Arial" w:cs="Arial"/>
          <w:i/>
          <w:iCs/>
          <w:sz w:val="28"/>
          <w:szCs w:val="28"/>
          <w:u w:val="single"/>
        </w:rPr>
        <w:t>specify</w:t>
      </w:r>
      <w:r w:rsidRPr="003B28CB">
        <w:rPr>
          <w:rFonts w:ascii="Arial" w:hAnsi="Arial" w:cs="Arial"/>
          <w:sz w:val="28"/>
          <w:szCs w:val="28"/>
        </w:rPr>
        <w:t>).</w:t>
      </w:r>
    </w:p>
    <w:p w14:paraId="74A4C373" w14:textId="77777777" w:rsidR="003A6274" w:rsidRPr="003B28CB" w:rsidRDefault="003A6274">
      <w:pPr>
        <w:jc w:val="both"/>
        <w:rPr>
          <w:rFonts w:ascii="Arial" w:hAnsi="Arial" w:cs="Arial"/>
          <w:sz w:val="28"/>
          <w:szCs w:val="28"/>
        </w:rPr>
      </w:pPr>
    </w:p>
    <w:p w14:paraId="6FEB11A1" w14:textId="77777777" w:rsidR="003A6274" w:rsidRPr="003B28CB" w:rsidRDefault="003A6274">
      <w:pPr>
        <w:ind w:firstLine="720"/>
        <w:jc w:val="both"/>
        <w:rPr>
          <w:rFonts w:ascii="Arial" w:hAnsi="Arial" w:cs="Arial"/>
          <w:sz w:val="28"/>
          <w:szCs w:val="28"/>
        </w:rPr>
      </w:pPr>
      <w:r w:rsidRPr="003B28CB">
        <w:rPr>
          <w:rFonts w:ascii="Arial" w:hAnsi="Arial" w:cs="Arial"/>
          <w:sz w:val="28"/>
          <w:szCs w:val="28"/>
        </w:rPr>
        <w:t>Under our law, a sex offender is required to register [or to verify information about himself or herself] in the following manner and within the following time periods:</w:t>
      </w:r>
    </w:p>
    <w:p w14:paraId="28103B43" w14:textId="77777777" w:rsidR="003A6274" w:rsidRPr="003B28CB" w:rsidRDefault="003A6274">
      <w:pPr>
        <w:jc w:val="both"/>
        <w:rPr>
          <w:rFonts w:ascii="Arial" w:hAnsi="Arial" w:cs="Arial"/>
          <w:sz w:val="28"/>
          <w:szCs w:val="28"/>
        </w:rPr>
      </w:pPr>
    </w:p>
    <w:p w14:paraId="11BE30DD" w14:textId="6AF08C16" w:rsidR="003A6274" w:rsidRPr="003B28CB" w:rsidRDefault="003A6274">
      <w:pPr>
        <w:ind w:left="720" w:firstLine="720"/>
        <w:jc w:val="both"/>
        <w:rPr>
          <w:rFonts w:ascii="Arial" w:hAnsi="Arial" w:cs="Arial"/>
          <w:sz w:val="28"/>
          <w:szCs w:val="28"/>
        </w:rPr>
      </w:pPr>
      <w:r w:rsidRPr="003B28CB">
        <w:rPr>
          <w:rFonts w:ascii="Arial" w:hAnsi="Arial" w:cs="Arial"/>
          <w:sz w:val="28"/>
          <w:szCs w:val="28"/>
        </w:rPr>
        <w:t>[</w:t>
      </w:r>
      <w:r w:rsidRPr="003B28CB">
        <w:rPr>
          <w:rFonts w:ascii="Arial" w:hAnsi="Arial" w:cs="Arial"/>
          <w:i/>
          <w:iCs/>
          <w:sz w:val="28"/>
          <w:szCs w:val="28"/>
        </w:rPr>
        <w:t>NOTE: Select the appropriate provision from the Correction Law which sets forth various registration and verification requirements throughout Correction Law article 6-C.  For example:</w:t>
      </w:r>
    </w:p>
    <w:p w14:paraId="4865589D" w14:textId="77777777" w:rsidR="003A6274" w:rsidRPr="003B28CB" w:rsidRDefault="003A6274">
      <w:pPr>
        <w:ind w:left="720" w:firstLine="720"/>
        <w:jc w:val="both"/>
        <w:rPr>
          <w:rFonts w:ascii="Arial" w:hAnsi="Arial" w:cs="Arial"/>
          <w:sz w:val="28"/>
          <w:szCs w:val="28"/>
        </w:rPr>
      </w:pPr>
      <w:r w:rsidRPr="003B28CB">
        <w:rPr>
          <w:rFonts w:ascii="Arial" w:hAnsi="Arial" w:cs="Arial"/>
          <w:sz w:val="28"/>
          <w:szCs w:val="28"/>
        </w:rPr>
        <w:t>A sex offender shall, (a) at least ten calendar days prior to discharge, parole, release to post-release supervision or release from any state or local correctional facility, hospital or institution where he or she was confined or committed, or, (b) at the time sentence is imposed for any sex offender released on probation or discharged upon payment of a fine, conditional discharge or unconditional discharge, register with the division of criminal justice services on a form prepared by the division.</w:t>
      </w:r>
      <w:r w:rsidRPr="003B28CB">
        <w:rPr>
          <w:rStyle w:val="FootnoteReference"/>
          <w:rFonts w:ascii="Arial" w:hAnsi="Arial" w:cs="Arial"/>
          <w:sz w:val="28"/>
          <w:szCs w:val="28"/>
          <w:vertAlign w:val="superscript"/>
        </w:rPr>
        <w:footnoteReference w:id="4"/>
      </w:r>
      <w:r w:rsidRPr="003B28CB">
        <w:rPr>
          <w:rFonts w:ascii="Arial" w:hAnsi="Arial" w:cs="Arial"/>
          <w:sz w:val="28"/>
          <w:szCs w:val="28"/>
        </w:rPr>
        <w:t>]</w:t>
      </w:r>
    </w:p>
    <w:p w14:paraId="73056011"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8"/>
          <w:szCs w:val="28"/>
        </w:rPr>
      </w:pPr>
    </w:p>
    <w:p w14:paraId="30434EA2"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rPr>
          <w:rFonts w:ascii="Arial" w:hAnsi="Arial" w:cs="Arial"/>
          <w:sz w:val="28"/>
          <w:szCs w:val="28"/>
        </w:rPr>
      </w:pPr>
      <w:proofErr w:type="gramStart"/>
      <w:r w:rsidRPr="003B28CB">
        <w:rPr>
          <w:rFonts w:ascii="Arial" w:hAnsi="Arial" w:cs="Arial"/>
          <w:sz w:val="28"/>
          <w:szCs w:val="28"/>
        </w:rPr>
        <w:t>In order for</w:t>
      </w:r>
      <w:proofErr w:type="gramEnd"/>
      <w:r w:rsidRPr="003B28CB">
        <w:rPr>
          <w:rFonts w:ascii="Arial" w:hAnsi="Arial" w:cs="Arial"/>
          <w:sz w:val="28"/>
          <w:szCs w:val="28"/>
        </w:rPr>
        <w:t xml:space="preserve"> you to find the defendant guilty of this crime, the People are required to prove, from all of the evidence in the case, beyond a reasonable doubt, each of the following three </w:t>
      </w:r>
      <w:r w:rsidRPr="003B28CB">
        <w:rPr>
          <w:rFonts w:ascii="Arial" w:hAnsi="Arial" w:cs="Arial"/>
          <w:sz w:val="28"/>
          <w:szCs w:val="28"/>
        </w:rPr>
        <w:lastRenderedPageBreak/>
        <w:t>elements:</w:t>
      </w:r>
    </w:p>
    <w:p w14:paraId="212C6A68"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8"/>
          <w:szCs w:val="28"/>
        </w:rPr>
      </w:pPr>
    </w:p>
    <w:p w14:paraId="3FFACB2F" w14:textId="2B30B2A0"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rPr>
          <w:rFonts w:ascii="Arial" w:hAnsi="Arial" w:cs="Arial"/>
          <w:sz w:val="28"/>
          <w:szCs w:val="28"/>
        </w:rPr>
      </w:pPr>
      <w:r w:rsidRPr="003B28CB">
        <w:rPr>
          <w:rFonts w:ascii="Arial" w:hAnsi="Arial" w:cs="Arial"/>
          <w:sz w:val="28"/>
          <w:szCs w:val="28"/>
        </w:rPr>
        <w:t>1.</w:t>
      </w:r>
      <w:r w:rsidRPr="003B28CB">
        <w:rPr>
          <w:rFonts w:ascii="Arial" w:hAnsi="Arial" w:cs="Arial"/>
          <w:sz w:val="28"/>
          <w:szCs w:val="28"/>
        </w:rPr>
        <w:tab/>
        <w:t xml:space="preserve">That on or about </w:t>
      </w:r>
      <w:r w:rsidRPr="003B28CB">
        <w:rPr>
          <w:rFonts w:ascii="Arial" w:hAnsi="Arial" w:cs="Arial"/>
          <w:sz w:val="28"/>
          <w:szCs w:val="28"/>
          <w:u w:val="single"/>
        </w:rPr>
        <w:t>(</w:t>
      </w:r>
      <w:r w:rsidRPr="003B28CB">
        <w:rPr>
          <w:rFonts w:ascii="Arial" w:hAnsi="Arial" w:cs="Arial"/>
          <w:i/>
          <w:iCs/>
          <w:sz w:val="28"/>
          <w:szCs w:val="28"/>
          <w:u w:val="single"/>
        </w:rPr>
        <w:t>date</w:t>
      </w:r>
      <w:r w:rsidRPr="003B28CB">
        <w:rPr>
          <w:rFonts w:ascii="Arial" w:hAnsi="Arial" w:cs="Arial"/>
          <w:sz w:val="28"/>
          <w:szCs w:val="28"/>
          <w:u w:val="single"/>
        </w:rPr>
        <w:t>)</w:t>
      </w:r>
      <w:r w:rsidRPr="003B28CB">
        <w:rPr>
          <w:rFonts w:ascii="Arial" w:hAnsi="Arial" w:cs="Arial"/>
          <w:sz w:val="28"/>
          <w:szCs w:val="28"/>
        </w:rPr>
        <w:t xml:space="preserve">, in the county of </w:t>
      </w:r>
      <w:r w:rsidRPr="003B28CB">
        <w:rPr>
          <w:rFonts w:ascii="Arial" w:hAnsi="Arial" w:cs="Arial"/>
          <w:sz w:val="28"/>
          <w:szCs w:val="28"/>
          <w:u w:val="single"/>
        </w:rPr>
        <w:t>(</w:t>
      </w:r>
      <w:r w:rsidR="00C1036D">
        <w:rPr>
          <w:rFonts w:ascii="Arial" w:hAnsi="Arial" w:cs="Arial"/>
          <w:sz w:val="28"/>
          <w:szCs w:val="28"/>
          <w:u w:val="single"/>
        </w:rPr>
        <w:t>C</w:t>
      </w:r>
      <w:r w:rsidRPr="003B28CB">
        <w:rPr>
          <w:rFonts w:ascii="Arial" w:hAnsi="Arial" w:cs="Arial"/>
          <w:i/>
          <w:iCs/>
          <w:sz w:val="28"/>
          <w:szCs w:val="28"/>
          <w:u w:val="single"/>
        </w:rPr>
        <w:t>ounty</w:t>
      </w:r>
      <w:proofErr w:type="gramStart"/>
      <w:r w:rsidRPr="003B28CB">
        <w:rPr>
          <w:rFonts w:ascii="Arial" w:hAnsi="Arial" w:cs="Arial"/>
          <w:sz w:val="28"/>
          <w:szCs w:val="28"/>
          <w:u w:val="single"/>
        </w:rPr>
        <w:t xml:space="preserve">) </w:t>
      </w:r>
      <w:r w:rsidRPr="003B28CB">
        <w:rPr>
          <w:rFonts w:ascii="Arial" w:hAnsi="Arial" w:cs="Arial"/>
          <w:sz w:val="28"/>
          <w:szCs w:val="28"/>
        </w:rPr>
        <w:t>,</w:t>
      </w:r>
      <w:proofErr w:type="gramEnd"/>
      <w:r w:rsidRPr="003B28CB">
        <w:rPr>
          <w:rFonts w:ascii="Arial" w:hAnsi="Arial" w:cs="Arial"/>
          <w:sz w:val="28"/>
          <w:szCs w:val="28"/>
        </w:rPr>
        <w:t xml:space="preserve"> the defendant, </w:t>
      </w:r>
      <w:r w:rsidRPr="003B28CB">
        <w:rPr>
          <w:rFonts w:ascii="Arial" w:hAnsi="Arial" w:cs="Arial"/>
          <w:sz w:val="28"/>
          <w:szCs w:val="28"/>
          <w:u w:val="single"/>
        </w:rPr>
        <w:t xml:space="preserve"> (</w:t>
      </w:r>
      <w:r w:rsidRPr="003B28CB">
        <w:rPr>
          <w:rFonts w:ascii="Arial" w:hAnsi="Arial" w:cs="Arial"/>
          <w:i/>
          <w:iCs/>
          <w:sz w:val="28"/>
          <w:szCs w:val="28"/>
          <w:u w:val="single"/>
        </w:rPr>
        <w:t>defendant's name</w:t>
      </w:r>
      <w:r w:rsidRPr="003B28CB">
        <w:rPr>
          <w:rFonts w:ascii="Arial" w:hAnsi="Arial" w:cs="Arial"/>
          <w:sz w:val="28"/>
          <w:szCs w:val="28"/>
          <w:u w:val="single"/>
        </w:rPr>
        <w:t>),</w:t>
      </w:r>
      <w:r w:rsidRPr="003B28CB">
        <w:rPr>
          <w:rFonts w:ascii="Arial" w:hAnsi="Arial" w:cs="Arial"/>
          <w:sz w:val="28"/>
          <w:szCs w:val="28"/>
        </w:rPr>
        <w:t xml:space="preserve"> was a sex offender required to register [or to verify information about himself/herself];</w:t>
      </w:r>
    </w:p>
    <w:p w14:paraId="135194C8"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8"/>
          <w:szCs w:val="28"/>
        </w:rPr>
      </w:pPr>
    </w:p>
    <w:p w14:paraId="3BC573CE"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8"/>
          <w:szCs w:val="28"/>
        </w:rPr>
        <w:sectPr w:rsidR="003A6274" w:rsidRPr="003B28CB" w:rsidSect="00783AE2">
          <w:footerReference w:type="default" r:id="rId6"/>
          <w:type w:val="continuous"/>
          <w:pgSz w:w="12240" w:h="15840"/>
          <w:pgMar w:top="1440" w:right="2160" w:bottom="1440" w:left="2160" w:header="1440" w:footer="1440" w:gutter="0"/>
          <w:cols w:space="720"/>
          <w:noEndnote/>
        </w:sectPr>
      </w:pPr>
    </w:p>
    <w:p w14:paraId="20F873B0"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rPr>
          <w:rFonts w:ascii="Arial" w:hAnsi="Arial" w:cs="Arial"/>
          <w:sz w:val="28"/>
          <w:szCs w:val="28"/>
        </w:rPr>
      </w:pPr>
      <w:r w:rsidRPr="003B28CB">
        <w:rPr>
          <w:rFonts w:ascii="Arial" w:hAnsi="Arial" w:cs="Arial"/>
          <w:sz w:val="28"/>
          <w:szCs w:val="28"/>
        </w:rPr>
        <w:t>2.</w:t>
      </w:r>
      <w:r w:rsidRPr="003B28CB">
        <w:rPr>
          <w:rFonts w:ascii="Arial" w:hAnsi="Arial" w:cs="Arial"/>
          <w:sz w:val="28"/>
          <w:szCs w:val="28"/>
        </w:rPr>
        <w:tab/>
        <w:t>That the defendant knew that he/she was required to register and knew the manner and time periods within which he/she was required to do so; and</w:t>
      </w:r>
    </w:p>
    <w:p w14:paraId="767AF635"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8"/>
          <w:szCs w:val="28"/>
        </w:rPr>
      </w:pPr>
    </w:p>
    <w:p w14:paraId="66445633"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rPr>
          <w:rFonts w:ascii="Arial" w:hAnsi="Arial" w:cs="Arial"/>
          <w:sz w:val="28"/>
          <w:szCs w:val="28"/>
        </w:rPr>
      </w:pPr>
      <w:r w:rsidRPr="003B28CB">
        <w:rPr>
          <w:rFonts w:ascii="Arial" w:hAnsi="Arial" w:cs="Arial"/>
          <w:sz w:val="28"/>
          <w:szCs w:val="28"/>
        </w:rPr>
        <w:t>3.</w:t>
      </w:r>
      <w:r w:rsidRPr="003B28CB">
        <w:rPr>
          <w:rFonts w:ascii="Arial" w:hAnsi="Arial" w:cs="Arial"/>
          <w:sz w:val="28"/>
          <w:szCs w:val="28"/>
        </w:rPr>
        <w:tab/>
        <w:t>That the defendant failed to register [or verify] in the manner and within the time periods provided for by law.</w:t>
      </w:r>
      <w:r w:rsidRPr="003B28CB">
        <w:rPr>
          <w:rStyle w:val="FootnoteReference"/>
          <w:rFonts w:ascii="Arial" w:hAnsi="Arial" w:cs="Arial"/>
          <w:sz w:val="28"/>
          <w:szCs w:val="28"/>
          <w:vertAlign w:val="superscript"/>
        </w:rPr>
        <w:footnoteReference w:id="5"/>
      </w:r>
    </w:p>
    <w:p w14:paraId="66ABC19C"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8"/>
          <w:szCs w:val="28"/>
        </w:rPr>
      </w:pPr>
    </w:p>
    <w:p w14:paraId="662F6AC4"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8"/>
          <w:szCs w:val="28"/>
        </w:rPr>
      </w:pPr>
      <w:bookmarkStart w:id="0" w:name="QuickMark"/>
      <w:bookmarkEnd w:id="0"/>
      <w:r w:rsidRPr="003B28CB">
        <w:rPr>
          <w:rFonts w:ascii="Arial" w:hAnsi="Arial" w:cs="Arial"/>
          <w:sz w:val="28"/>
          <w:szCs w:val="28"/>
        </w:rPr>
        <w:tab/>
        <w:t>If you find the People have proven beyond a reasonable doubt each of those elements, you must find the defendant guilty of this crime.</w:t>
      </w:r>
    </w:p>
    <w:p w14:paraId="441FCD06"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8"/>
          <w:szCs w:val="28"/>
        </w:rPr>
      </w:pPr>
    </w:p>
    <w:p w14:paraId="130947A2" w14:textId="77777777" w:rsidR="003A6274" w:rsidRPr="003B28CB" w:rsidRDefault="003A627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rPr>
          <w:rFonts w:ascii="Arial" w:hAnsi="Arial" w:cs="Arial"/>
          <w:sz w:val="28"/>
          <w:szCs w:val="28"/>
        </w:rPr>
      </w:pPr>
      <w:r w:rsidRPr="003B28CB">
        <w:rPr>
          <w:rFonts w:ascii="Arial" w:hAnsi="Arial" w:cs="Arial"/>
          <w:sz w:val="28"/>
          <w:szCs w:val="28"/>
        </w:rPr>
        <w:t>If you find the People have not proven beyond a reasonable doubt any one or more of those elements, you must find the defendant not guilty of this crime.</w:t>
      </w:r>
    </w:p>
    <w:sectPr w:rsidR="003A6274" w:rsidRPr="003B28CB" w:rsidSect="00783AE2">
      <w:type w:val="continuous"/>
      <w:pgSz w:w="12240" w:h="15840"/>
      <w:pgMar w:top="1440" w:right="2160"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8C5D" w14:textId="77777777" w:rsidR="00783AE2" w:rsidRDefault="00783AE2" w:rsidP="003A6274">
      <w:r>
        <w:separator/>
      </w:r>
    </w:p>
  </w:endnote>
  <w:endnote w:type="continuationSeparator" w:id="0">
    <w:p w14:paraId="46A6D2BB" w14:textId="77777777" w:rsidR="00783AE2" w:rsidRDefault="00783AE2" w:rsidP="003A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E4D3" w14:textId="77777777" w:rsidR="003A6274" w:rsidRDefault="003A6274">
    <w:pPr>
      <w:spacing w:line="240" w:lineRule="exact"/>
    </w:pPr>
  </w:p>
  <w:p w14:paraId="36A03916" w14:textId="77777777" w:rsidR="003A6274" w:rsidRDefault="003A6274">
    <w:pPr>
      <w:framePr w:w="7921" w:wrap="notBeside" w:vAnchor="text" w:hAnchor="text" w:x="1"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3B28CB">
      <w:rPr>
        <w:rFonts w:ascii="Arial" w:hAnsi="Arial" w:cs="Arial"/>
        <w:noProof/>
      </w:rPr>
      <w:t>2</w:t>
    </w:r>
    <w:r>
      <w:rPr>
        <w:rFonts w:ascii="Arial" w:hAnsi="Arial" w:cs="Arial"/>
      </w:rPr>
      <w:fldChar w:fldCharType="end"/>
    </w:r>
  </w:p>
  <w:p w14:paraId="3BBAD0F1" w14:textId="77777777" w:rsidR="003A6274" w:rsidRDefault="003A6274">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4D67" w14:textId="77777777" w:rsidR="00783AE2" w:rsidRDefault="00783AE2" w:rsidP="003A6274">
      <w:r>
        <w:separator/>
      </w:r>
    </w:p>
  </w:footnote>
  <w:footnote w:type="continuationSeparator" w:id="0">
    <w:p w14:paraId="34084C28" w14:textId="77777777" w:rsidR="00783AE2" w:rsidRDefault="00783AE2" w:rsidP="003A6274">
      <w:r>
        <w:continuationSeparator/>
      </w:r>
    </w:p>
  </w:footnote>
  <w:footnote w:id="1">
    <w:p w14:paraId="21FF8EFF" w14:textId="77777777" w:rsidR="003A6274" w:rsidRPr="003B28CB" w:rsidRDefault="003A6274">
      <w:pPr>
        <w:spacing w:after="240"/>
        <w:ind w:firstLine="720"/>
        <w:rPr>
          <w:rFonts w:ascii="Arial" w:hAnsi="Arial" w:cs="Arial"/>
        </w:rPr>
      </w:pPr>
      <w:r w:rsidRPr="003B28CB">
        <w:rPr>
          <w:rStyle w:val="FootnoteReference"/>
          <w:rFonts w:ascii="Arial" w:hAnsi="Arial" w:cs="Arial"/>
          <w:vertAlign w:val="superscript"/>
        </w:rPr>
        <w:footnoteRef/>
      </w:r>
      <w:r w:rsidRPr="003B28CB">
        <w:rPr>
          <w:rFonts w:ascii="Arial" w:hAnsi="Arial" w:cs="Arial"/>
        </w:rPr>
        <w:t xml:space="preserve"> In 2005, this crime was renamed </w:t>
      </w:r>
      <w:r w:rsidRPr="003B28CB">
        <w:rPr>
          <w:rFonts w:ascii="Arial" w:hAnsi="Arial" w:cs="Arial"/>
        </w:rPr>
        <w:sym w:font="WP TypographicSymbols" w:char="0041"/>
      </w:r>
      <w:r w:rsidRPr="003B28CB">
        <w:rPr>
          <w:rFonts w:ascii="Arial" w:hAnsi="Arial" w:cs="Arial"/>
        </w:rPr>
        <w:t>Penalty.</w:t>
      </w:r>
      <w:r w:rsidRPr="003B28CB">
        <w:rPr>
          <w:rFonts w:ascii="Arial" w:hAnsi="Arial" w:cs="Arial"/>
        </w:rPr>
        <w:sym w:font="WP TypographicSymbols" w:char="0040"/>
      </w:r>
      <w:r w:rsidRPr="003B28CB">
        <w:rPr>
          <w:rFonts w:ascii="Arial" w:hAnsi="Arial" w:cs="Arial"/>
        </w:rPr>
        <w:t xml:space="preserve">  L. 2005, ch. 604.</w:t>
      </w:r>
    </w:p>
  </w:footnote>
  <w:footnote w:id="2">
    <w:p w14:paraId="641D9CE2" w14:textId="77777777" w:rsidR="003A6274" w:rsidRPr="003B28CB" w:rsidRDefault="003A6274">
      <w:pPr>
        <w:ind w:firstLine="720"/>
        <w:rPr>
          <w:rFonts w:ascii="Arial" w:hAnsi="Arial" w:cs="Arial"/>
        </w:rPr>
      </w:pPr>
      <w:r w:rsidRPr="003B28CB">
        <w:rPr>
          <w:rStyle w:val="FootnoteReference"/>
          <w:rFonts w:ascii="Arial" w:hAnsi="Arial" w:cs="Arial"/>
          <w:vertAlign w:val="superscript"/>
        </w:rPr>
        <w:footnoteRef/>
      </w:r>
      <w:r w:rsidRPr="003B28CB">
        <w:rPr>
          <w:rFonts w:ascii="Arial" w:hAnsi="Arial" w:cs="Arial"/>
        </w:rPr>
        <w:t xml:space="preserve"> </w:t>
      </w:r>
    </w:p>
    <w:p w14:paraId="5F18788B" w14:textId="77777777" w:rsidR="003A6274" w:rsidRDefault="003A6274">
      <w:pPr>
        <w:spacing w:after="240"/>
        <w:ind w:firstLine="720"/>
        <w:jc w:val="both"/>
        <w:rPr>
          <w:rFonts w:ascii="Microsoft Uighur" w:hAnsi="Microsoft Uighur" w:cs="Microsoft Uighur"/>
        </w:rPr>
      </w:pPr>
      <w:r w:rsidRPr="003B28CB">
        <w:rPr>
          <w:rFonts w:ascii="Arial" w:hAnsi="Arial" w:cs="Arial"/>
        </w:rPr>
        <w:t xml:space="preserve">The statute reads: </w:t>
      </w:r>
      <w:r w:rsidRPr="003B28CB">
        <w:rPr>
          <w:rFonts w:ascii="Arial" w:hAnsi="Arial" w:cs="Arial"/>
        </w:rPr>
        <w:sym w:font="WP TypographicSymbols" w:char="0041"/>
      </w:r>
      <w:r w:rsidRPr="003B28CB">
        <w:rPr>
          <w:rFonts w:ascii="Arial" w:hAnsi="Arial" w:cs="Arial"/>
        </w:rPr>
        <w:t>Any sex offender required to register or to verify pursuant to the provisions of this article who fails to register or verify in the manner and within the time periods provided for in this article shall be guilty of a class E Felony upon conviction for the first offense, and upon conviction for a second or subsequent offense shall be guilty of a class D felony.</w:t>
      </w:r>
      <w:r w:rsidRPr="003B28CB">
        <w:rPr>
          <w:rFonts w:ascii="Arial" w:hAnsi="Arial" w:cs="Arial"/>
        </w:rPr>
        <w:sym w:font="WP TypographicSymbols" w:char="0040"/>
      </w:r>
      <w:r w:rsidRPr="003B28CB">
        <w:rPr>
          <w:rFonts w:ascii="Arial" w:hAnsi="Arial" w:cs="Arial"/>
        </w:rPr>
        <w:t xml:space="preserve">  The distinction between the class of felony based upon criminal history was replaced with the generic </w:t>
      </w:r>
      <w:r w:rsidRPr="003B28CB">
        <w:rPr>
          <w:rFonts w:ascii="Arial" w:hAnsi="Arial" w:cs="Arial"/>
        </w:rPr>
        <w:sym w:font="WP TypographicSymbols" w:char="0041"/>
      </w:r>
      <w:r w:rsidRPr="003B28CB">
        <w:rPr>
          <w:rFonts w:ascii="Arial" w:hAnsi="Arial" w:cs="Arial"/>
        </w:rPr>
        <w:t>guilty of a crime.</w:t>
      </w:r>
      <w:r w:rsidRPr="003B28CB">
        <w:rPr>
          <w:rFonts w:ascii="Arial" w:hAnsi="Arial" w:cs="Arial"/>
        </w:rPr>
        <w:sym w:font="WP TypographicSymbols" w:char="0040"/>
      </w:r>
      <w:r w:rsidRPr="003B28CB">
        <w:rPr>
          <w:rFonts w:ascii="Arial" w:hAnsi="Arial" w:cs="Arial"/>
        </w:rPr>
        <w:t xml:space="preserve">  An additional element of this crime when charged as a D</w:t>
      </w:r>
      <w:r w:rsidRPr="003B28CB">
        <w:rPr>
          <w:rFonts w:ascii="Arial" w:hAnsi="Arial" w:cs="Arial"/>
          <w:b/>
          <w:bCs/>
        </w:rPr>
        <w:t xml:space="preserve"> </w:t>
      </w:r>
      <w:r w:rsidRPr="003B28CB">
        <w:rPr>
          <w:rFonts w:ascii="Arial" w:hAnsi="Arial" w:cs="Arial"/>
        </w:rPr>
        <w:t xml:space="preserve">felony is that the defendant has previously been convicted of this crime.  That element must be charged in a special information, and after commencement of trial the defendant must be arraigned on that special information.  If, upon such arraignment, the defendant admits the element, the court must not make any reference to it in the definition of the offense or in listing the elements of the offense.  But if the defendant denies the element or remains mute, then the Court must first, in the definition of the crime, reinsert in place of </w:t>
      </w:r>
      <w:r w:rsidRPr="003B28CB">
        <w:rPr>
          <w:rFonts w:ascii="Arial" w:hAnsi="Arial" w:cs="Arial"/>
        </w:rPr>
        <w:sym w:font="WP TypographicSymbols" w:char="0041"/>
      </w:r>
      <w:r w:rsidRPr="003B28CB">
        <w:rPr>
          <w:rFonts w:ascii="Arial" w:hAnsi="Arial" w:cs="Arial"/>
        </w:rPr>
        <w:t>a crime</w:t>
      </w:r>
      <w:r w:rsidRPr="003B28CB">
        <w:rPr>
          <w:rFonts w:ascii="Arial" w:hAnsi="Arial" w:cs="Arial"/>
        </w:rPr>
        <w:sym w:font="WP TypographicSymbols" w:char="0040"/>
      </w:r>
      <w:r w:rsidRPr="003B28CB">
        <w:rPr>
          <w:rFonts w:ascii="Arial" w:hAnsi="Arial" w:cs="Arial"/>
        </w:rPr>
        <w:t xml:space="preserve"> the statutory language: </w:t>
      </w:r>
      <w:r w:rsidRPr="003B28CB">
        <w:rPr>
          <w:rFonts w:ascii="Arial" w:hAnsi="Arial" w:cs="Arial"/>
        </w:rPr>
        <w:sym w:font="WP TypographicSymbols" w:char="0041"/>
      </w:r>
      <w:r w:rsidRPr="003B28CB">
        <w:rPr>
          <w:rFonts w:ascii="Arial" w:hAnsi="Arial" w:cs="Arial"/>
        </w:rPr>
        <w:t>shall be guilty of a class E Felony upon conviction for the first offense, and upon conviction for a second or subsequent offense shall be guilty of a class D felony,</w:t>
      </w:r>
      <w:r w:rsidRPr="003B28CB">
        <w:rPr>
          <w:rFonts w:ascii="Arial" w:hAnsi="Arial" w:cs="Arial"/>
        </w:rPr>
        <w:sym w:font="WP TypographicSymbols" w:char="0040"/>
      </w:r>
      <w:r w:rsidRPr="003B28CB">
        <w:rPr>
          <w:rFonts w:ascii="Arial" w:hAnsi="Arial" w:cs="Arial"/>
        </w:rPr>
        <w:t xml:space="preserve"> and second, the Court must add that to the elements of the crime as set forth in footnote 4.  CPL </w:t>
      </w:r>
      <w:r w:rsidRPr="003B28CB">
        <w:rPr>
          <w:rFonts w:ascii="Arial" w:hAnsi="Arial" w:cs="Arial"/>
        </w:rPr>
        <w:sym w:font="WP TypographicSymbols" w:char="0027"/>
      </w:r>
      <w:r w:rsidRPr="003B28CB">
        <w:rPr>
          <w:rFonts w:ascii="Arial" w:hAnsi="Arial" w:cs="Arial"/>
        </w:rPr>
        <w:t xml:space="preserve"> 200.60.  </w:t>
      </w:r>
      <w:r w:rsidRPr="003B28CB">
        <w:rPr>
          <w:rFonts w:ascii="Arial" w:hAnsi="Arial" w:cs="Arial"/>
          <w:i/>
          <w:iCs/>
        </w:rPr>
        <w:t>See People v. Cooper</w:t>
      </w:r>
      <w:r w:rsidRPr="003B28CB">
        <w:rPr>
          <w:rFonts w:ascii="Arial" w:hAnsi="Arial" w:cs="Arial"/>
        </w:rPr>
        <w:t>, 78 N.Y.2d 476 (1991).</w:t>
      </w:r>
      <w:r>
        <w:rPr>
          <w:rFonts w:ascii="Microsoft Uighur" w:hAnsi="Microsoft Uighur" w:cs="Microsoft Uighur"/>
        </w:rPr>
        <w:t xml:space="preserve">    </w:t>
      </w:r>
    </w:p>
  </w:footnote>
  <w:footnote w:id="3">
    <w:p w14:paraId="48D562A8" w14:textId="7C8DDF2F" w:rsidR="003A6274" w:rsidRPr="003B28CB" w:rsidRDefault="003A6274" w:rsidP="00B17773">
      <w:pPr>
        <w:spacing w:after="240"/>
        <w:ind w:firstLine="720"/>
        <w:jc w:val="both"/>
        <w:rPr>
          <w:rFonts w:ascii="Arial" w:hAnsi="Arial" w:cs="Arial"/>
        </w:rPr>
      </w:pPr>
      <w:r>
        <w:rPr>
          <w:rStyle w:val="FootnoteReference"/>
          <w:vertAlign w:val="superscript"/>
        </w:rPr>
        <w:footnoteRef/>
      </w:r>
      <w:r>
        <w:rPr>
          <w:rFonts w:ascii="Microsoft Uighur" w:hAnsi="Microsoft Uighur" w:cs="Microsoft Uighur"/>
        </w:rPr>
        <w:t xml:space="preserve"> </w:t>
      </w:r>
      <w:r w:rsidRPr="006302CC">
        <w:rPr>
          <w:rFonts w:ascii="Arial" w:hAnsi="Arial" w:cs="Arial"/>
          <w:sz w:val="22"/>
          <w:szCs w:val="22"/>
        </w:rPr>
        <w:t xml:space="preserve">This paragraph has been added to comport with due process. </w:t>
      </w:r>
      <w:r w:rsidRPr="006302CC">
        <w:rPr>
          <w:rFonts w:ascii="Arial" w:hAnsi="Arial" w:cs="Arial"/>
          <w:i/>
          <w:iCs/>
          <w:sz w:val="22"/>
          <w:szCs w:val="22"/>
        </w:rPr>
        <w:t>See Lambert v. California</w:t>
      </w:r>
      <w:r w:rsidRPr="006302CC">
        <w:rPr>
          <w:rFonts w:ascii="Arial" w:hAnsi="Arial" w:cs="Arial"/>
          <w:sz w:val="22"/>
          <w:szCs w:val="22"/>
        </w:rPr>
        <w:t>, 355 U.S. 225 (1957)</w:t>
      </w:r>
      <w:r w:rsidR="0053445B">
        <w:rPr>
          <w:rFonts w:ascii="Arial" w:hAnsi="Arial" w:cs="Arial"/>
          <w:sz w:val="22"/>
          <w:szCs w:val="22"/>
        </w:rPr>
        <w:t>;</w:t>
      </w:r>
      <w:r w:rsidRPr="006302CC">
        <w:rPr>
          <w:rFonts w:ascii="Arial" w:hAnsi="Arial" w:cs="Arial"/>
          <w:i/>
          <w:iCs/>
          <w:sz w:val="22"/>
          <w:szCs w:val="22"/>
        </w:rPr>
        <w:t xml:space="preserve"> </w:t>
      </w:r>
      <w:r w:rsidRPr="006302CC">
        <w:rPr>
          <w:rFonts w:ascii="Arial" w:hAnsi="Arial" w:cs="Arial"/>
          <w:sz w:val="22"/>
          <w:szCs w:val="22"/>
        </w:rPr>
        <w:t xml:space="preserve">Penal Law </w:t>
      </w:r>
      <w:r w:rsidRPr="006302CC">
        <w:rPr>
          <w:rFonts w:ascii="Arial" w:hAnsi="Arial" w:cs="Arial"/>
          <w:sz w:val="22"/>
          <w:szCs w:val="22"/>
        </w:rPr>
        <w:sym w:font="WP TypographicSymbols" w:char="0027"/>
      </w:r>
      <w:r w:rsidRPr="006302CC">
        <w:rPr>
          <w:rFonts w:ascii="Arial" w:hAnsi="Arial" w:cs="Arial"/>
          <w:sz w:val="22"/>
          <w:szCs w:val="22"/>
        </w:rPr>
        <w:t xml:space="preserve"> 15.15(2</w:t>
      </w:r>
      <w:r w:rsidR="00714233">
        <w:rPr>
          <w:rFonts w:ascii="Arial" w:hAnsi="Arial" w:cs="Arial"/>
          <w:sz w:val="22"/>
          <w:szCs w:val="22"/>
        </w:rPr>
        <w:t xml:space="preserve">).  </w:t>
      </w:r>
      <w:r w:rsidR="00714233" w:rsidRPr="00714233">
        <w:rPr>
          <w:rFonts w:ascii="Arial" w:hAnsi="Arial" w:cs="Arial"/>
          <w:i/>
          <w:iCs/>
          <w:sz w:val="22"/>
          <w:szCs w:val="22"/>
        </w:rPr>
        <w:t>See also</w:t>
      </w:r>
      <w:r w:rsidRPr="006302CC">
        <w:rPr>
          <w:rFonts w:ascii="Arial" w:hAnsi="Arial" w:cs="Arial"/>
          <w:sz w:val="22"/>
          <w:szCs w:val="22"/>
        </w:rPr>
        <w:t xml:space="preserve"> </w:t>
      </w:r>
      <w:r w:rsidR="006302CC" w:rsidRPr="002D6817">
        <w:rPr>
          <w:rFonts w:ascii="Arial" w:eastAsia="Times New Roman" w:hAnsi="Arial" w:cs="Arial"/>
          <w:i/>
          <w:iCs/>
          <w:color w:val="000000"/>
          <w:sz w:val="22"/>
          <w:szCs w:val="22"/>
          <w14:ligatures w14:val="standardContextual"/>
        </w:rPr>
        <w:t>People v. Watts,</w:t>
      </w:r>
      <w:r w:rsidR="006302CC" w:rsidRPr="006302CC">
        <w:rPr>
          <w:rFonts w:ascii="Arial" w:eastAsia="Times New Roman" w:hAnsi="Arial" w:cs="Arial"/>
          <w:color w:val="000000"/>
          <w:sz w:val="22"/>
          <w:szCs w:val="22"/>
          <w14:ligatures w14:val="standardContextual"/>
        </w:rPr>
        <w:t xml:space="preserve"> _NY_, </w:t>
      </w:r>
      <w:r w:rsidR="006302CC" w:rsidRPr="006302CC">
        <w:rPr>
          <w:rFonts w:ascii="Arial" w:hAnsi="Arial" w:cs="Arial"/>
          <w:color w:val="000000"/>
          <w:sz w:val="22"/>
          <w:szCs w:val="22"/>
        </w:rPr>
        <w:t>2024 WL 714400, 2024 N.Y. Slip Op. 00926</w:t>
      </w:r>
      <w:r w:rsidR="002D6817">
        <w:rPr>
          <w:rFonts w:ascii="Arial" w:hAnsi="Arial" w:cs="Arial"/>
          <w:color w:val="000000"/>
          <w:sz w:val="22"/>
          <w:szCs w:val="22"/>
        </w:rPr>
        <w:t>, fn 5 (“</w:t>
      </w:r>
      <w:r w:rsidR="00BA47AE">
        <w:rPr>
          <w:rFonts w:ascii="Arial" w:eastAsia="Times New Roman" w:hAnsi="Arial" w:cs="Arial"/>
          <w:color w:val="000000"/>
          <w:sz w:val="22"/>
          <w:szCs w:val="22"/>
          <w14:ligatures w14:val="standardContextual"/>
        </w:rPr>
        <w:t>a</w:t>
      </w:r>
      <w:r w:rsidR="00EE7AEA" w:rsidRPr="006302CC">
        <w:rPr>
          <w:rFonts w:ascii="Arial" w:eastAsia="Times New Roman" w:hAnsi="Arial" w:cs="Arial"/>
          <w:color w:val="000000"/>
          <w:sz w:val="22"/>
          <w:szCs w:val="22"/>
          <w14:ligatures w14:val="standardContextual"/>
        </w:rPr>
        <w:t xml:space="preserve"> registrant who fails to register or verify in the manner and within the time periods provided for under SORA may be prosecuted for </w:t>
      </w:r>
      <w:r w:rsidR="00EE7AEA" w:rsidRPr="002D6817">
        <w:rPr>
          <w:rFonts w:ascii="Arial" w:eastAsia="Times New Roman" w:hAnsi="Arial" w:cs="Arial"/>
          <w:sz w:val="22"/>
          <w:szCs w:val="22"/>
          <w14:ligatures w14:val="standardContextual"/>
        </w:rPr>
        <w:t>committing a class E felony (</w:t>
      </w:r>
      <w:r w:rsidR="00EE7AEA" w:rsidRPr="002D6817">
        <w:rPr>
          <w:rFonts w:ascii="Arial" w:eastAsia="Times New Roman" w:hAnsi="Arial" w:cs="Arial"/>
          <w:i/>
          <w:iCs/>
          <w:sz w:val="22"/>
          <w:szCs w:val="22"/>
          <w14:ligatures w14:val="standardContextual"/>
        </w:rPr>
        <w:t xml:space="preserve">see </w:t>
      </w:r>
      <w:hyperlink r:id="rId1" w:history="1">
        <w:r w:rsidR="00EE7AEA" w:rsidRPr="002D6817">
          <w:rPr>
            <w:rFonts w:ascii="Arial" w:eastAsia="Times New Roman" w:hAnsi="Arial" w:cs="Arial"/>
            <w:sz w:val="22"/>
            <w:szCs w:val="22"/>
            <w14:ligatures w14:val="standardContextual"/>
          </w:rPr>
          <w:t>Correction Law § 168-t</w:t>
        </w:r>
      </w:hyperlink>
      <w:r w:rsidR="00EE7AEA" w:rsidRPr="002D6817">
        <w:rPr>
          <w:rFonts w:ascii="Arial" w:eastAsia="Times New Roman" w:hAnsi="Arial" w:cs="Arial"/>
          <w:sz w:val="22"/>
          <w:szCs w:val="22"/>
          <w14:ligatures w14:val="standardContextual"/>
        </w:rPr>
        <w:t>). Although we have no occasion here to decide the culpable mental state required for the crime of failure to register, we note that the Criminal Jury Instructions provide that, to be guilty, “a sex offender must know that he or she is required to register and must</w:t>
      </w:r>
      <w:r w:rsidR="006B16D8" w:rsidRPr="002D6817">
        <w:rPr>
          <w:rFonts w:ascii="Arial" w:eastAsia="Times New Roman" w:hAnsi="Arial" w:cs="Arial"/>
          <w:sz w:val="22"/>
          <w:szCs w:val="22"/>
          <w14:ligatures w14:val="standardContextual"/>
        </w:rPr>
        <w:t xml:space="preserve"> </w:t>
      </w:r>
      <w:r w:rsidR="006B16D8" w:rsidRPr="002D6817">
        <w:rPr>
          <w:rFonts w:ascii="Arial" w:hAnsi="Arial" w:cs="Arial"/>
          <w:sz w:val="22"/>
          <w:szCs w:val="22"/>
        </w:rPr>
        <w:t xml:space="preserve">know the manner and time periods within which he or she is required to do so” (CJI2d [NY] </w:t>
      </w:r>
      <w:hyperlink r:id="rId2" w:history="1">
        <w:r w:rsidR="006B16D8" w:rsidRPr="002D6817">
          <w:rPr>
            <w:rFonts w:ascii="Arial" w:hAnsi="Arial" w:cs="Arial"/>
            <w:sz w:val="22"/>
            <w:szCs w:val="22"/>
          </w:rPr>
          <w:t>Correction Law § 168-t</w:t>
        </w:r>
      </w:hyperlink>
      <w:r w:rsidR="006B16D8" w:rsidRPr="002D6817">
        <w:rPr>
          <w:rFonts w:ascii="Arial" w:hAnsi="Arial" w:cs="Arial"/>
          <w:sz w:val="22"/>
          <w:szCs w:val="22"/>
        </w:rPr>
        <w:t xml:space="preserve">; </w:t>
      </w:r>
      <w:r w:rsidR="006B16D8" w:rsidRPr="002D6817">
        <w:rPr>
          <w:rFonts w:ascii="Arial" w:hAnsi="Arial" w:cs="Arial"/>
          <w:i/>
          <w:iCs/>
          <w:sz w:val="22"/>
          <w:szCs w:val="22"/>
        </w:rPr>
        <w:t xml:space="preserve">see </w:t>
      </w:r>
      <w:hyperlink r:id="rId3" w:anchor="co_pp_sp_7049_970" w:history="1">
        <w:r w:rsidR="006B16D8" w:rsidRPr="002D6817">
          <w:rPr>
            <w:rFonts w:ascii="Arial" w:hAnsi="Arial" w:cs="Arial"/>
            <w:i/>
            <w:iCs/>
            <w:sz w:val="22"/>
            <w:szCs w:val="22"/>
          </w:rPr>
          <w:t>People v Haddock</w:t>
        </w:r>
        <w:r w:rsidR="006B16D8" w:rsidRPr="002D6817">
          <w:rPr>
            <w:rFonts w:ascii="Arial" w:hAnsi="Arial" w:cs="Arial"/>
            <w:sz w:val="22"/>
            <w:szCs w:val="22"/>
          </w:rPr>
          <w:t>, 48 AD3d 969, 970-971 [3d Dept 2008]</w:t>
        </w:r>
      </w:hyperlink>
      <w:r w:rsidR="00AB6A43" w:rsidRPr="002D6817">
        <w:rPr>
          <w:rFonts w:ascii="Arial" w:hAnsi="Arial" w:cs="Arial"/>
          <w:sz w:val="22"/>
          <w:szCs w:val="22"/>
        </w:rPr>
        <w:t>.”</w:t>
      </w:r>
    </w:p>
  </w:footnote>
  <w:footnote w:id="4">
    <w:p w14:paraId="3D36B208" w14:textId="77777777" w:rsidR="003A6274" w:rsidRPr="003B28CB" w:rsidRDefault="003A6274">
      <w:pPr>
        <w:spacing w:after="240"/>
        <w:ind w:firstLine="720"/>
        <w:rPr>
          <w:rFonts w:ascii="Arial" w:hAnsi="Arial" w:cs="Arial"/>
        </w:rPr>
      </w:pPr>
      <w:r w:rsidRPr="003B28CB">
        <w:rPr>
          <w:rStyle w:val="FootnoteReference"/>
          <w:rFonts w:ascii="Arial" w:hAnsi="Arial" w:cs="Arial"/>
          <w:vertAlign w:val="superscript"/>
        </w:rPr>
        <w:footnoteRef/>
      </w:r>
      <w:r w:rsidRPr="003B28CB">
        <w:rPr>
          <w:rFonts w:ascii="Arial" w:hAnsi="Arial" w:cs="Arial"/>
        </w:rPr>
        <w:t xml:space="preserve"> Correction Law </w:t>
      </w:r>
      <w:r w:rsidRPr="003B28CB">
        <w:rPr>
          <w:rFonts w:ascii="Arial" w:hAnsi="Arial" w:cs="Arial"/>
        </w:rPr>
        <w:sym w:font="WP TypographicSymbols" w:char="0027"/>
      </w:r>
      <w:r w:rsidRPr="003B28CB">
        <w:rPr>
          <w:rFonts w:ascii="Arial" w:hAnsi="Arial" w:cs="Arial"/>
        </w:rPr>
        <w:t>168</w:t>
      </w:r>
      <w:r w:rsidRPr="003B28CB">
        <w:rPr>
          <w:rFonts w:ascii="Arial" w:hAnsi="Arial" w:cs="Arial"/>
        </w:rPr>
        <w:noBreakHyphen/>
      </w:r>
      <w:proofErr w:type="gramStart"/>
      <w:r w:rsidRPr="003B28CB">
        <w:rPr>
          <w:rFonts w:ascii="Arial" w:hAnsi="Arial" w:cs="Arial"/>
        </w:rPr>
        <w:t>f(</w:t>
      </w:r>
      <w:proofErr w:type="gramEnd"/>
      <w:r w:rsidRPr="003B28CB">
        <w:rPr>
          <w:rFonts w:ascii="Arial" w:hAnsi="Arial" w:cs="Arial"/>
        </w:rPr>
        <w:t>1).</w:t>
      </w:r>
    </w:p>
  </w:footnote>
  <w:footnote w:id="5">
    <w:p w14:paraId="76589F11" w14:textId="77777777" w:rsidR="003A6274" w:rsidRPr="003B28CB" w:rsidRDefault="003A6274" w:rsidP="00C1036D">
      <w:pPr>
        <w:ind w:firstLine="720"/>
        <w:jc w:val="both"/>
        <w:rPr>
          <w:rFonts w:ascii="Arial" w:hAnsi="Arial" w:cs="Arial"/>
        </w:rPr>
      </w:pPr>
      <w:r>
        <w:rPr>
          <w:rStyle w:val="FootnoteReference"/>
          <w:vertAlign w:val="superscript"/>
        </w:rPr>
        <w:footnoteRef/>
      </w:r>
      <w:r>
        <w:rPr>
          <w:rFonts w:ascii="Microsoft Uighur" w:hAnsi="Microsoft Uighur" w:cs="Microsoft Uighur"/>
        </w:rPr>
        <w:t xml:space="preserve"> </w:t>
      </w:r>
      <w:r w:rsidRPr="003B28CB">
        <w:rPr>
          <w:rFonts w:ascii="Arial" w:hAnsi="Arial" w:cs="Arial"/>
        </w:rPr>
        <w:t>If the defendant is being prosecuted for the D</w:t>
      </w:r>
      <w:r w:rsidRPr="003B28CB">
        <w:rPr>
          <w:rFonts w:ascii="Arial" w:hAnsi="Arial" w:cs="Arial"/>
          <w:b/>
          <w:bCs/>
        </w:rPr>
        <w:t xml:space="preserve"> </w:t>
      </w:r>
      <w:r w:rsidRPr="003B28CB">
        <w:rPr>
          <w:rFonts w:ascii="Arial" w:hAnsi="Arial" w:cs="Arial"/>
        </w:rPr>
        <w:t>felony and has admitted a previous conviction, the crime will consist of only the three elements listed above.  If the defendant has denied the previous conviction or has remained mute, add as the fourth element:</w:t>
      </w:r>
    </w:p>
    <w:p w14:paraId="40DB37ED" w14:textId="77777777" w:rsidR="003A6274" w:rsidRPr="003B28CB" w:rsidRDefault="003A6274">
      <w:pPr>
        <w:rPr>
          <w:rFonts w:ascii="Arial" w:hAnsi="Arial" w:cs="Arial"/>
        </w:rPr>
      </w:pPr>
    </w:p>
    <w:p w14:paraId="34FD568A" w14:textId="77777777" w:rsidR="003A6274" w:rsidRDefault="003A6274" w:rsidP="00427277">
      <w:pPr>
        <w:spacing w:after="240"/>
        <w:ind w:left="720" w:firstLine="720"/>
        <w:rPr>
          <w:rFonts w:ascii="Microsoft Uighur" w:hAnsi="Microsoft Uighur" w:cs="Microsoft Uighur"/>
          <w:sz w:val="18"/>
          <w:szCs w:val="18"/>
        </w:rPr>
      </w:pPr>
      <w:r w:rsidRPr="003B28CB">
        <w:rPr>
          <w:rFonts w:ascii="Arial" w:hAnsi="Arial" w:cs="Arial"/>
        </w:rPr>
        <w:sym w:font="WP TypographicSymbols" w:char="0041"/>
      </w:r>
      <w:r w:rsidRPr="003B28CB">
        <w:rPr>
          <w:rFonts w:ascii="Arial" w:hAnsi="Arial" w:cs="Arial"/>
        </w:rPr>
        <w:t>and 4. That the defendant has previously been convicted of failure to register or verify as a sex offender.</w:t>
      </w:r>
      <w:r w:rsidRPr="003B28CB">
        <w:rPr>
          <w:rFonts w:ascii="Arial" w:hAnsi="Arial" w:cs="Arial"/>
        </w:rPr>
        <w:sym w:font="WP TypographicSymbols" w:char="0040"/>
      </w:r>
      <w:r w:rsidRPr="003B28CB">
        <w:rPr>
          <w:rFonts w:ascii="Arial" w:hAnsi="Arial" w:cs="Arial"/>
        </w:rPr>
        <w:t xml:space="preserve"> </w:t>
      </w:r>
      <w:r w:rsidRPr="003B28CB">
        <w:rPr>
          <w:rFonts w:ascii="Arial" w:hAnsi="Arial" w:cs="Arial"/>
        </w:rPr>
        <w:tab/>
      </w:r>
      <w:r>
        <w:rPr>
          <w:rFonts w:ascii="Microsoft Uighur" w:hAnsi="Microsoft Uighur" w:cs="Microsoft Uighur"/>
          <w:sz w:val="18"/>
          <w:szCs w:val="18"/>
        </w:rP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74"/>
    <w:rsid w:val="002D6817"/>
    <w:rsid w:val="003A6274"/>
    <w:rsid w:val="003B28CB"/>
    <w:rsid w:val="00427277"/>
    <w:rsid w:val="0053445B"/>
    <w:rsid w:val="005F1E61"/>
    <w:rsid w:val="006302CC"/>
    <w:rsid w:val="006B16D8"/>
    <w:rsid w:val="00714233"/>
    <w:rsid w:val="00783AE2"/>
    <w:rsid w:val="00787F64"/>
    <w:rsid w:val="00847801"/>
    <w:rsid w:val="00A655A5"/>
    <w:rsid w:val="00AB6A43"/>
    <w:rsid w:val="00B17773"/>
    <w:rsid w:val="00B979EE"/>
    <w:rsid w:val="00BA47AE"/>
    <w:rsid w:val="00C1036D"/>
    <w:rsid w:val="00D70414"/>
    <w:rsid w:val="00DB01A0"/>
    <w:rsid w:val="00EE7AEA"/>
    <w:rsid w:val="00F0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E171DF"/>
  <w14:defaultImageDpi w14:val="0"/>
  <w15:docId w15:val="{CB5104DE-8DD0-4A9D-AB64-28BEF4DC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estlaw.com/Link/Document/FullText?findType=Y&amp;pubNum=0007049&amp;cite=48AD3D969&amp;originatingDoc=Ib86ecd80d18c11ee97aad80e6488b62c&amp;refType=RP&amp;fi=co_pp_sp_7049_970&amp;originationContext=document&amp;vr=3.0&amp;rs=cblt1.0&amp;transitionType=DocumentItem&amp;contextData=(sc.AlertsClip)" TargetMode="External"/><Relationship Id="rId2" Type="http://schemas.openxmlformats.org/officeDocument/2006/relationships/hyperlink" Target="https://www.westlaw.com/Link/Document/FullText?findType=L&amp;pubNum=1000064&amp;cite=NYCTS168-T&amp;originatingDoc=Ib86ecd80d18c11ee97aad80e6488b62c&amp;refType=LQ&amp;originationContext=document&amp;vr=3.0&amp;rs=cblt1.0&amp;transitionType=DocumentItem&amp;contextData=(sc.AlertsClip)" TargetMode="External"/><Relationship Id="rId1" Type="http://schemas.openxmlformats.org/officeDocument/2006/relationships/hyperlink" Target="https://www.westlaw.com/Link/Document/FullText?findType=L&amp;pubNum=1000064&amp;cite=NYCTS168-T&amp;originatingDoc=Ib86ecd80d18c11ee97aad80e6488b62c&amp;refType=LQ&amp;originationContext=document&amp;vr=3.0&amp;rs=cblt1.0&amp;transitionType=DocumentItem&amp;contextData=(sc.AlertsCl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429</Words>
  <Characters>2093</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William Donnino</dc:creator>
  <cp:keywords/>
  <dc:description/>
  <cp:lastModifiedBy>Hon. William Donnino</cp:lastModifiedBy>
  <cp:revision>26</cp:revision>
  <dcterms:created xsi:type="dcterms:W3CDTF">2020-01-07T04:59:00Z</dcterms:created>
  <dcterms:modified xsi:type="dcterms:W3CDTF">2024-05-09T16:50:00Z</dcterms:modified>
</cp:coreProperties>
</file>