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USE OF A CHEMICAL WEAPON</w:t>
        <w:br/>
      </w:r>
      <w:r>
        <w:rPr>
          <w:rFonts w:ascii="Arial" w:hAnsi="Arial" w:eastAsia="Arial"/>
          <w:b w:val="true"/>
          <w:strike w:val="false"/>
          <w:color w:val="000000"/>
          <w:spacing w:val="0"/>
          <w:w w:val="100"/>
          <w:sz w:val="28"/>
          <w:vertAlign w:val="baseline"/>
          <w:lang w:val="en-US"/>
        </w:rPr>
        <w:t xml:space="preserve">OR BIOLOGICAL WEAPON IN THE FIRST DEGREE</w:t>
        <w:br/>
      </w:r>
      <w:r>
        <w:rPr>
          <w:rFonts w:ascii="Arial" w:hAnsi="Arial" w:eastAsia="Arial"/>
          <w:b w:val="true"/>
          <w:strike w:val="false"/>
          <w:color w:val="000000"/>
          <w:spacing w:val="0"/>
          <w:w w:val="100"/>
          <w:sz w:val="28"/>
          <w:vertAlign w:val="baseline"/>
          <w:lang w:val="en-US"/>
        </w:rPr>
        <w:t xml:space="preserve">Penal Law § 490.55(3)</w:t>
        <w:br/>
      </w:r>
      <w:r>
        <w:rPr>
          <w:rFonts w:ascii="Arial" w:hAnsi="Arial" w:eastAsia="Arial"/>
          <w:b w:val="true"/>
          <w:strike w:val="false"/>
          <w:color w:val="000000"/>
          <w:spacing w:val="0"/>
          <w:w w:val="100"/>
          <w:sz w:val="28"/>
          <w:vertAlign w:val="baseline"/>
          <w:lang w:val="en-US"/>
        </w:rPr>
        <w:t xml:space="preserve">(Committed on or after July 23, 2004)</w:t>
      </w:r>
    </w:p>
    <w:p>
      <w:pPr>
        <w:pageBreakBefore w:val="false"/>
        <w:spacing w:before="64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Criminal Use of a Chemical Weapon or Biological Weapon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Criminal Use of a Chemical Weapon or Biological Weapon in the First Degree when with intent to cause serious physical injury to, or the death of, another person, he or she uses, deploys, releases, or causes to be used, deployed, or released any select biological agent and thereby causes serious physical injury to, or the death of, another person who is not a participant in the crime.</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8"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SELECT BIOLOGICAL AGENT means an identified biological weapon, including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u w:val="single"/>
          <w:vertAlign w:val="superscript"/>
          <w:lang w:val="en-US"/>
        </w:rPr>
        <w:t xml:space="preserve">1</w:t>
      </w:r>
      <w:r>
        <w:rPr>
          <w:rFonts w:ascii="Arial" w:hAnsi="Arial" w:eastAsia="Arial"/>
          <w:strike w:val="false"/>
          <w:color w:val="000000"/>
          <w:spacing w:val="0"/>
          <w:w w:val="100"/>
          <w:sz w:val="17"/>
          <w:u w:val="single"/>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cause serious physical injury to, or the death of, another person when his or her conscious objective or purpose is to do so.</w:t>
      </w:r>
    </w:p>
    <w:p>
      <w:pPr>
        <w:pageBreakBefore w:val="false"/>
        <w:spacing w:before="330" w:after="385" w:line="323"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w:t>
      </w:r>
    </w:p>
    <w:p>
      <w:pPr>
        <w:pageBreakBefore w:val="false"/>
        <w:spacing w:before="260" w:after="0" w:line="276" w:lineRule="exact"/>
        <w:ind w:right="0" w:left="0" w:firstLine="0"/>
        <w:jc w:val="both"/>
        <w:textAlignment w:val="baseline"/>
        <w:rPr>
          <w:rFonts w:ascii="Times New Roman" w:hAnsi="Times New Roman" w:eastAsia="Times New Roman"/>
          <w:strike w:val="false"/>
          <w:color w:val="000000"/>
          <w:spacing w:val="0"/>
          <w:w w:val="100"/>
          <w:sz w:val="13"/>
          <w:vertAlign w:val="superscript"/>
          <w:lang w:val="en-US"/>
        </w:rPr>
      </w:pPr>
      <w:r>
        <w:pict>
          <v:line strokeweight="1.2pt" strokecolor="#000000" from="108pt,612.25pt" to="252.05pt,612.2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490.05(16) which refers to “a biological weapon which has been identified in regulations promulgated pursuant to subdivision twenty-one of section two hundred six of the public health law.” If “biological weapon” is at issue, the charge should be expanded by adding the applicable definition set forth in Penal Law § 490.05(9).</w:t>
      </w:r>
    </w:p>
    <w:p>
      <w:pPr>
        <w:pageBreakBefore w:val="false"/>
        <w:spacing w:before="242" w:after="0" w:line="294" w:lineRule="exact"/>
        <w:ind w:right="0" w:left="0" w:firstLine="0"/>
        <w:jc w:val="left"/>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2</w:t>
      </w:r>
      <w:r>
        <w:rPr>
          <w:rFonts w:ascii="Tahoma" w:hAnsi="Tahoma" w:eastAsia="Tahoma"/>
          <w:i w:val="true"/>
          <w:strike w:val="false"/>
          <w:color w:val="000000"/>
          <w:spacing w:val="3"/>
          <w:w w:val="100"/>
          <w:sz w:val="26"/>
          <w:vertAlign w:val="baseline"/>
          <w:lang w:val="en-US"/>
        </w:rPr>
        <w:t xml:space="preserve"> See </w:t>
      </w:r>
      <w:r>
        <w:rPr>
          <w:rFonts w:ascii="Tahoma" w:hAnsi="Tahoma" w:eastAsia="Tahoma"/>
          <w:strike w:val="false"/>
          <w:color w:val="000000"/>
          <w:spacing w:val="3"/>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impairment of the function of any bodily organ.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3" w:after="0" w:line="315" w:lineRule="exact"/>
        <w:ind w:right="0" w:left="1440" w:hanging="72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w:t>
      </w:r>
      <w:r>
        <w:rPr>
          <w:rFonts w:ascii="Arial" w:hAnsi="Arial" w:eastAsia="Arial"/>
          <w:i w:val="true"/>
          <w:strike w:val="false"/>
          <w:color w:val="000000"/>
          <w:spacing w:val="-5"/>
          <w:w w:val="100"/>
          <w:sz w:val="23"/>
          <w:u w:val="single"/>
          <w:vertAlign w:val="baseline"/>
          <w:lang w:val="en-US"/>
        </w:rPr>
        <w:t xml:space="preserve"> (date) </w:t>
      </w:r>
      <w:r>
        <w:rPr>
          <w:rFonts w:ascii="Arial" w:hAnsi="Arial" w:eastAsia="Arial"/>
          <w:strike w:val="false"/>
          <w:color w:val="000000"/>
          <w:spacing w:val="-5"/>
          <w:w w:val="100"/>
          <w:sz w:val="28"/>
          <w:vertAlign w:val="baseline"/>
          <w:lang w:val="en-US"/>
        </w:rPr>
        <w:t xml:space="preserve"> , in the county of </w:t>
      </w:r>
      <w:r>
        <w:rPr>
          <w:rFonts w:ascii="Arial" w:hAnsi="Arial" w:eastAsia="Arial"/>
          <w:i w:val="true"/>
          <w:strike w:val="false"/>
          <w:color w:val="000000"/>
          <w:spacing w:val="-5"/>
          <w:w w:val="100"/>
          <w:sz w:val="23"/>
          <w:u w:val="single"/>
          <w:vertAlign w:val="baseline"/>
          <w:lang w:val="en-US"/>
        </w:rPr>
        <w:t xml:space="preserve"> (county) </w:t>
      </w:r>
      <w:r>
        <w:rPr>
          <w:rFonts w:ascii="Arial" w:hAnsi="Arial" w:eastAsia="Arial"/>
          <w:strike w:val="false"/>
          <w:color w:val="000000"/>
          <w:spacing w:val="-5"/>
          <w:w w:val="100"/>
          <w:sz w:val="28"/>
          <w:vertAlign w:val="baseline"/>
          <w:lang w:val="en-US"/>
        </w:rPr>
        <w:t xml:space="preserve"> , the</w:t>
      </w:r>
    </w:p>
    <w:p>
      <w:pPr>
        <w:pageBreakBefore w:val="false"/>
        <w:tabs>
          <w:tab w:val="left" w:leader="none" w:pos="3240"/>
          <w:tab w:val="right" w:leader="none" w:pos="7920"/>
        </w:tabs>
        <w:spacing w:before="1" w:after="0" w:line="321"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ab/>
      </w:r>
      <w:r>
        <w:rPr>
          <w:rFonts w:ascii="Arial" w:hAnsi="Arial" w:eastAsia="Arial"/>
          <w:i w:val="true"/>
          <w:strike w:val="false"/>
          <w:color w:val="000000"/>
          <w:spacing w:val="0"/>
          <w:w w:val="100"/>
          <w:sz w:val="23"/>
          <w:u w:val="single"/>
          <w:vertAlign w:val="baseline"/>
          <w:lang w:val="en-US"/>
        </w:rPr>
        <w:t xml:space="preserve">(defendant's name)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used, deployed,</w:t>
        <w:br/>
      </w:r>
      <w:r>
        <w:rPr>
          <w:rFonts w:ascii="Arial" w:hAnsi="Arial" w:eastAsia="Arial"/>
          <w:strike w:val="false"/>
          <w:color w:val="000000"/>
          <w:spacing w:val="0"/>
          <w:w w:val="100"/>
          <w:sz w:val="28"/>
          <w:vertAlign w:val="baseline"/>
          <w:lang w:val="en-US"/>
        </w:rPr>
        <w:t xml:space="preserve">released, or caused to be used, deployed, or</w:t>
      </w:r>
    </w:p>
    <w:p>
      <w:pPr>
        <w:pageBreakBefore w:val="false"/>
        <w:spacing w:before="12" w:after="0" w:line="315"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released, any select biological agent; and</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the defendant did so with intent to cause serious physical injury to, or the death of, another person; and</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caused serious physical injury to, or the death of, another person who was not a participant in the crime.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3795"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3795" w:line="321" w:lineRule="exact"/>
        <w:sectPr>
          <w:type w:val="nextPage"/>
          <w:pgSz w:w="12240" w:h="15840" w:orient="portrait"/>
          <w:pgMar w:bottom="1024" w:top="1400" w:right="2142" w:left="2158" w:header="720" w:footer="720"/>
          <w:titlePg w:val="false"/>
          <w:textDirection w:val="lrTb"/>
        </w:sectPr>
      </w:pPr>
    </w:p>
    <w:p>
      <w:pPr>
        <w:pageBreakBefore w:val="false"/>
        <w:spacing w:before="258" w:after="0" w:line="276" w:lineRule="exact"/>
        <w:ind w:right="0" w:left="0" w:firstLine="0"/>
        <w:jc w:val="left"/>
        <w:textAlignment w:val="baseline"/>
        <w:rPr>
          <w:rFonts w:ascii="Times New Roman" w:hAnsi="Times New Roman" w:eastAsia="Times New Roman"/>
          <w:strike w:val="false"/>
          <w:color w:val="000000"/>
          <w:spacing w:val="0"/>
          <w:w w:val="100"/>
          <w:sz w:val="13"/>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3.4pt;height:13.25pt;z-index:-1000;margin-left:299.05pt;margin-top:706.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txbxContent>
            </v:textbox>
          </v:shape>
        </w:pict>
      </w:r>
      <w:r>
        <w:pict>
          <v:line strokeweight="0.95pt" strokecolor="#000000" from="107.9pt,667.9pt" to="252.05pt,667.9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10.00(10).</w:t>
      </w:r>
    </w:p>
    <w:sectPr>
      <w:type w:val="continuous"/>
      <w:pgSz w:w="12240" w:h="15840" w:orient="portrait"/>
      <w:pgMar w:bottom="1024" w:top="1400" w:right="6840" w:left="21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