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141C2" w14:textId="06111153" w:rsidR="00082055" w:rsidRPr="007C4A4D" w:rsidRDefault="00082055" w:rsidP="00082055">
      <w:pPr>
        <w:spacing w:before="1" w:line="331" w:lineRule="exact"/>
        <w:jc w:val="center"/>
        <w:textAlignment w:val="baseline"/>
        <w:rPr>
          <w:rFonts w:ascii="Arial" w:eastAsia="Arial" w:hAnsi="Arial"/>
          <w:b/>
          <w:kern w:val="0"/>
          <w:sz w:val="28"/>
          <w:szCs w:val="22"/>
          <w14:ligatures w14:val="none"/>
        </w:rPr>
      </w:pPr>
      <w:r w:rsidRPr="007C4A4D">
        <w:rPr>
          <w:rFonts w:ascii="Arial" w:eastAsia="Arial" w:hAnsi="Arial"/>
          <w:b/>
          <w:kern w:val="0"/>
          <w:sz w:val="28"/>
          <w:szCs w:val="22"/>
          <w14:ligatures w14:val="none"/>
        </w:rPr>
        <w:t xml:space="preserve">PROMOTING A SEXUAL PERFORMANCE BY A CHILD </w:t>
      </w:r>
      <w:r w:rsidRPr="007C4A4D">
        <w:rPr>
          <w:rFonts w:ascii="Arial" w:eastAsia="Arial" w:hAnsi="Arial"/>
          <w:b/>
          <w:kern w:val="0"/>
          <w:sz w:val="28"/>
          <w:szCs w:val="22"/>
          <w14:ligatures w14:val="none"/>
        </w:rPr>
        <w:br/>
        <w:t xml:space="preserve">Penal Law § 263.15 </w:t>
      </w:r>
      <w:r w:rsidRPr="007C4A4D">
        <w:rPr>
          <w:rFonts w:ascii="Arial" w:eastAsia="Arial" w:hAnsi="Arial"/>
          <w:b/>
          <w:kern w:val="0"/>
          <w:sz w:val="28"/>
          <w:szCs w:val="22"/>
          <w14:ligatures w14:val="none"/>
        </w:rPr>
        <w:br/>
        <w:t xml:space="preserve">(Committed on or after </w:t>
      </w:r>
      <w:r w:rsidR="000C45E8" w:rsidRPr="007C4A4D">
        <w:rPr>
          <w:rFonts w:ascii="Arial" w:eastAsia="Arial" w:hAnsi="Arial"/>
          <w:b/>
          <w:kern w:val="0"/>
          <w:sz w:val="28"/>
          <w:szCs w:val="22"/>
          <w14:ligatures w14:val="none"/>
        </w:rPr>
        <w:t xml:space="preserve">Sept </w:t>
      </w:r>
      <w:r w:rsidR="00215AA2" w:rsidRPr="007C4A4D">
        <w:rPr>
          <w:rFonts w:ascii="Arial" w:eastAsia="Arial" w:hAnsi="Arial"/>
          <w:b/>
          <w:kern w:val="0"/>
          <w:sz w:val="28"/>
          <w:szCs w:val="22"/>
          <w14:ligatures w14:val="none"/>
        </w:rPr>
        <w:t>1, 2024)</w:t>
      </w:r>
      <w:r w:rsidRPr="007C4A4D">
        <w:rPr>
          <w:rFonts w:ascii="Arial" w:eastAsia="Arial" w:hAnsi="Arial"/>
          <w:b/>
          <w:kern w:val="0"/>
          <w:sz w:val="17"/>
          <w:szCs w:val="22"/>
          <w14:ligatures w14:val="none"/>
        </w:rPr>
        <w:br/>
      </w:r>
    </w:p>
    <w:p w14:paraId="00546C79" w14:textId="77777777" w:rsidR="00082055" w:rsidRPr="007C4A4D" w:rsidRDefault="00082055" w:rsidP="00082055">
      <w:pPr>
        <w:spacing w:before="335" w:line="325" w:lineRule="exact"/>
        <w:ind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 xml:space="preserve">The </w:t>
      </w:r>
      <w:r w:rsidRPr="007C4A4D">
        <w:rPr>
          <w:rFonts w:ascii="Arial" w:eastAsia="Arial" w:hAnsi="Arial"/>
          <w:kern w:val="0"/>
          <w:sz w:val="28"/>
          <w:szCs w:val="22"/>
          <w:u w:val="single"/>
          <w14:ligatures w14:val="none"/>
        </w:rPr>
        <w:t>(</w:t>
      </w:r>
      <w:r w:rsidRPr="007C4A4D">
        <w:rPr>
          <w:rFonts w:ascii="Arial" w:eastAsia="Arial" w:hAnsi="Arial"/>
          <w:i/>
          <w:kern w:val="0"/>
          <w:sz w:val="28"/>
          <w:szCs w:val="22"/>
          <w:u w:val="single"/>
          <w14:ligatures w14:val="none"/>
        </w:rPr>
        <w:t>specify</w:t>
      </w:r>
      <w:r w:rsidRPr="007C4A4D">
        <w:rPr>
          <w:rFonts w:ascii="Arial" w:eastAsia="Arial" w:hAnsi="Arial"/>
          <w:kern w:val="0"/>
          <w:sz w:val="28"/>
          <w:szCs w:val="22"/>
          <w:u w:val="single"/>
          <w14:ligatures w14:val="none"/>
        </w:rPr>
        <w:t>)</w:t>
      </w:r>
      <w:r w:rsidRPr="007C4A4D">
        <w:rPr>
          <w:rFonts w:ascii="Arial" w:eastAsia="Arial" w:hAnsi="Arial"/>
          <w:kern w:val="0"/>
          <w:sz w:val="28"/>
          <w:szCs w:val="22"/>
          <w14:ligatures w14:val="none"/>
        </w:rPr>
        <w:t xml:space="preserve"> count is Promoting a Sexual Performance by a Child.</w:t>
      </w:r>
    </w:p>
    <w:p w14:paraId="41D20BE3" w14:textId="77777777" w:rsidR="00082055" w:rsidRPr="007C4A4D" w:rsidRDefault="00082055" w:rsidP="00082055">
      <w:pPr>
        <w:spacing w:before="319" w:line="325" w:lineRule="exact"/>
        <w:ind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Under our law, a person is guilty of promoting a sexual performance by a child when, knowing the character and content thereof, he or she produces, directs or promotes any performance which includes sexual conduct by a child less than seventeen years of age.</w:t>
      </w:r>
    </w:p>
    <w:p w14:paraId="321EEA92" w14:textId="77777777" w:rsidR="00082055" w:rsidRPr="007C4A4D" w:rsidRDefault="00082055" w:rsidP="00082055">
      <w:pPr>
        <w:spacing w:before="319" w:line="325" w:lineRule="exact"/>
        <w:ind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The following terms used in that definition have a special meaning:</w:t>
      </w:r>
    </w:p>
    <w:p w14:paraId="6719A280" w14:textId="77777777" w:rsidR="00082055" w:rsidRPr="007C4A4D" w:rsidRDefault="00082055" w:rsidP="00082055">
      <w:pPr>
        <w:spacing w:before="318" w:line="325" w:lineRule="exact"/>
        <w:ind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PROMOTE means to procure, manufacture, issue, sell, give, provide, lend, mail, deliver, transfer, transmute, publish, distribute, circulate, disseminate, present, exhibit or advertise, or to offer or agree to do the same.</w:t>
      </w:r>
      <w:r w:rsidRPr="007C4A4D">
        <w:rPr>
          <w:rFonts w:ascii="Arial" w:eastAsia="Arial" w:hAnsi="Arial"/>
          <w:kern w:val="0"/>
          <w:sz w:val="28"/>
          <w:szCs w:val="22"/>
          <w:vertAlign w:val="superscript"/>
          <w14:ligatures w14:val="none"/>
        </w:rPr>
        <w:footnoteReference w:id="1"/>
      </w:r>
    </w:p>
    <w:p w14:paraId="5D7C02EE" w14:textId="07783FF3" w:rsidR="00082055" w:rsidRPr="007C4A4D" w:rsidRDefault="00082055" w:rsidP="00082055">
      <w:pPr>
        <w:spacing w:before="341" w:after="100" w:afterAutospacing="1" w:line="325" w:lineRule="exact"/>
        <w:ind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[Images stored in the cache of a computer may constitute evidence of images that were previously viewed. However, viewing computer images of a sexual performance by a child on a computer does not by itself constitute promotion of such</w:t>
      </w:r>
      <w:r w:rsidR="00215AA2" w:rsidRPr="007C4A4D">
        <w:rPr>
          <w:noProof/>
        </w:rPr>
        <mc:AlternateContent>
          <mc:Choice Requires="wps">
            <w:drawing>
              <wp:anchor distT="4294967295" distB="4294967295" distL="114300" distR="114300" simplePos="0" relativeHeight="251659264" behindDoc="0" locked="0" layoutInCell="1" allowOverlap="1" wp14:anchorId="1240289C" wp14:editId="0F428F18">
                <wp:simplePos x="0" y="0"/>
                <wp:positionH relativeFrom="page">
                  <wp:posOffset>1363980</wp:posOffset>
                </wp:positionH>
                <wp:positionV relativeFrom="page">
                  <wp:posOffset>7257414</wp:posOffset>
                </wp:positionV>
                <wp:extent cx="1837055" cy="0"/>
                <wp:effectExtent l="0" t="0" r="0" b="0"/>
                <wp:wrapNone/>
                <wp:docPr id="2424368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1524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C13631"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7.4pt,571.45pt" to="252.05pt,5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" strokeweight="1.2pt">
                <w10:wrap anchorx="page" anchory="page"/>
              </v:line>
            </w:pict>
          </mc:Fallback>
        </mc:AlternateContent>
      </w:r>
      <w:r w:rsidRPr="007C4A4D">
        <w:rPr>
          <w:rFonts w:ascii="Arial" w:eastAsia="Arial" w:hAnsi="Arial"/>
          <w:kern w:val="0"/>
          <w:sz w:val="28"/>
          <w:szCs w:val="22"/>
          <w14:ligatures w14:val="none"/>
        </w:rPr>
        <w:t xml:space="preserve"> images. Rather, some affirmative act, such as printing, saving, downloading or the like, is required to show that defendant in fact exercised dominion and control over the images that were on his or her screen.] </w:t>
      </w:r>
      <w:r w:rsidRPr="007C4A4D">
        <w:rPr>
          <w:rFonts w:ascii="Arial" w:eastAsia="Arial" w:hAnsi="Arial"/>
          <w:kern w:val="0"/>
          <w:sz w:val="28"/>
          <w:szCs w:val="22"/>
          <w:vertAlign w:val="superscript"/>
          <w14:ligatures w14:val="none"/>
        </w:rPr>
        <w:footnoteReference w:id="2"/>
      </w:r>
      <w:r w:rsidRPr="007C4A4D">
        <w:rPr>
          <w:rFonts w:ascii="Arial" w:eastAsia="Arial" w:hAnsi="Arial"/>
          <w:kern w:val="0"/>
          <w:sz w:val="28"/>
          <w:szCs w:val="22"/>
          <w14:ligatures w14:val="none"/>
        </w:rPr>
        <w:t xml:space="preserve"> </w:t>
      </w:r>
    </w:p>
    <w:p w14:paraId="2ECDE781" w14:textId="42649D56" w:rsidR="00082055" w:rsidRPr="007C4A4D" w:rsidRDefault="00082055" w:rsidP="00082055">
      <w:pPr>
        <w:spacing w:before="0" w:after="100" w:afterAutospacing="1" w:line="317" w:lineRule="exact"/>
        <w:jc w:val="both"/>
        <w:textAlignment w:val="baseline"/>
        <w:rPr>
          <w:rFonts w:ascii="Arial" w:eastAsia="Arial" w:hAnsi="Arial"/>
          <w:i/>
          <w:spacing w:val="1"/>
          <w:kern w:val="0"/>
          <w:sz w:val="28"/>
          <w:szCs w:val="22"/>
          <w:u w:val="single"/>
          <w14:ligatures w14:val="none"/>
        </w:rPr>
      </w:pPr>
      <w:r w:rsidRPr="007C4A4D">
        <w:rPr>
          <w:rFonts w:ascii="Arial" w:eastAsia="Arial" w:hAnsi="Arial"/>
          <w:i/>
          <w:spacing w:val="1"/>
          <w:kern w:val="0"/>
          <w:sz w:val="28"/>
          <w:szCs w:val="22"/>
          <w:u w:val="single"/>
          <w14:ligatures w14:val="none"/>
        </w:rPr>
        <w:t xml:space="preserve">Add if appropriate: </w:t>
      </w:r>
    </w:p>
    <w:p w14:paraId="2C370E3D" w14:textId="77777777" w:rsidR="00082055" w:rsidRPr="007C4A4D" w:rsidRDefault="00082055" w:rsidP="00082055">
      <w:pPr>
        <w:spacing w:before="0" w:after="100" w:afterAutospacing="1" w:line="323" w:lineRule="exact"/>
        <w:ind w:firstLine="720"/>
        <w:jc w:val="both"/>
        <w:textAlignment w:val="baseline"/>
        <w:rPr>
          <w:rFonts w:ascii="Arial" w:eastAsia="Arial" w:hAnsi="Arial"/>
          <w:spacing w:val="-2"/>
          <w:kern w:val="0"/>
          <w:sz w:val="28"/>
          <w:szCs w:val="22"/>
          <w14:ligatures w14:val="none"/>
        </w:rPr>
      </w:pPr>
      <w:r w:rsidRPr="007C4A4D">
        <w:rPr>
          <w:rFonts w:ascii="Arial" w:eastAsia="Arial" w:hAnsi="Arial"/>
          <w:spacing w:val="-2"/>
          <w:kern w:val="0"/>
          <w:sz w:val="28"/>
          <w:szCs w:val="22"/>
          <w14:ligatures w14:val="none"/>
        </w:rPr>
        <w:t xml:space="preserve">The term “promote” shall not include conduct by an attorney when the performance was provided to such attorney in relation to </w:t>
      </w:r>
      <w:r w:rsidRPr="007C4A4D">
        <w:rPr>
          <w:rFonts w:ascii="Arial" w:eastAsia="Arial" w:hAnsi="Arial"/>
          <w:spacing w:val="-2"/>
          <w:kern w:val="0"/>
          <w:sz w:val="28"/>
          <w:szCs w:val="22"/>
          <w14:ligatures w14:val="none"/>
        </w:rPr>
        <w:lastRenderedPageBreak/>
        <w:t xml:space="preserve">the representation of a person under investigation or charged with a Penal Law offense or as a respondent pursuant to the Family Court Act, and was limited in use for the purpose of representation for the period of such representation. </w:t>
      </w:r>
      <w:r w:rsidRPr="007C4A4D">
        <w:rPr>
          <w:rFonts w:ascii="Arial" w:eastAsia="Arial" w:hAnsi="Arial"/>
          <w:spacing w:val="-2"/>
          <w:kern w:val="0"/>
          <w:sz w:val="28"/>
          <w:szCs w:val="22"/>
          <w:vertAlign w:val="superscript"/>
          <w14:ligatures w14:val="none"/>
        </w:rPr>
        <w:footnoteReference w:id="3"/>
      </w:r>
      <w:r w:rsidRPr="007C4A4D">
        <w:rPr>
          <w:rFonts w:ascii="Arial" w:eastAsia="Arial" w:hAnsi="Arial"/>
          <w:spacing w:val="-2"/>
          <w:kern w:val="0"/>
          <w:sz w:val="28"/>
          <w:szCs w:val="22"/>
          <w14:ligatures w14:val="none"/>
        </w:rPr>
        <w:t xml:space="preserve"> </w:t>
      </w:r>
    </w:p>
    <w:p w14:paraId="572A13D9" w14:textId="77777777" w:rsidR="00082055" w:rsidRPr="007C4A4D" w:rsidRDefault="00082055" w:rsidP="00082055">
      <w:pPr>
        <w:spacing w:before="321" w:line="325" w:lineRule="exact"/>
        <w:ind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PERFORMANCE means any play, motion picture, photograph or dance. [“Performance” also means any other visual representation exhibited before an audience.]</w:t>
      </w:r>
      <w:r w:rsidRPr="007C4A4D">
        <w:rPr>
          <w:rFonts w:ascii="Arial" w:eastAsia="Arial" w:hAnsi="Arial"/>
          <w:kern w:val="0"/>
          <w:sz w:val="28"/>
          <w:szCs w:val="22"/>
          <w:vertAlign w:val="superscript"/>
          <w14:ligatures w14:val="none"/>
        </w:rPr>
        <w:footnoteReference w:id="4"/>
      </w:r>
      <w:r w:rsidRPr="007C4A4D">
        <w:rPr>
          <w:rFonts w:ascii="Arial" w:eastAsia="Arial" w:hAnsi="Arial"/>
          <w:kern w:val="0"/>
          <w:sz w:val="28"/>
          <w:szCs w:val="22"/>
          <w14:ligatures w14:val="none"/>
        </w:rPr>
        <w:t xml:space="preserve"> </w:t>
      </w:r>
    </w:p>
    <w:p w14:paraId="53375017" w14:textId="77777777" w:rsidR="00082055" w:rsidRPr="007C4A4D" w:rsidRDefault="00082055" w:rsidP="00082055">
      <w:pPr>
        <w:widowControl w:val="0"/>
        <w:autoSpaceDE w:val="0"/>
        <w:autoSpaceDN w:val="0"/>
        <w:adjustRightInd w:val="0"/>
        <w:spacing w:before="0"/>
        <w:ind w:firstLine="720"/>
        <w:jc w:val="both"/>
        <w:rPr>
          <w:rFonts w:ascii="Arial" w:eastAsia="Arial" w:hAnsi="Arial" w:cstheme="minorBidi"/>
          <w:kern w:val="0"/>
          <w:sz w:val="28"/>
        </w:rPr>
      </w:pPr>
    </w:p>
    <w:p w14:paraId="0FAEE3ED" w14:textId="344A24FD" w:rsidR="003542D7" w:rsidRPr="007C4A4D" w:rsidRDefault="00417E1F" w:rsidP="003542D7">
      <w:pPr>
        <w:spacing w:before="322" w:line="325" w:lineRule="exact"/>
        <w:jc w:val="both"/>
        <w:textAlignment w:val="baseline"/>
      </w:pPr>
      <w:r w:rsidRPr="007C4A4D">
        <w:rPr>
          <w:rFonts w:ascii="Arial" w:eastAsia="Arial" w:hAnsi="Arial" w:cstheme="minorBidi"/>
          <w:kern w:val="0"/>
          <w:sz w:val="28"/>
        </w:rPr>
        <w:tab/>
      </w:r>
      <w:r w:rsidR="00082055" w:rsidRPr="007C4A4D">
        <w:rPr>
          <w:rFonts w:ascii="Arial" w:eastAsia="Arial" w:hAnsi="Arial" w:cstheme="minorBidi"/>
          <w:kern w:val="0"/>
          <w:sz w:val="28"/>
        </w:rPr>
        <w:t>“Sexual conduct” means actual or simulated [</w:t>
      </w:r>
      <w:r w:rsidR="00082055" w:rsidRPr="007C4A4D">
        <w:rPr>
          <w:rFonts w:ascii="Arial" w:eastAsia="Arial" w:hAnsi="Arial" w:cstheme="minorBidi"/>
          <w:i/>
          <w:iCs/>
          <w:kern w:val="0"/>
          <w:sz w:val="28"/>
          <w:u w:val="single"/>
        </w:rPr>
        <w:t>select appropriate alternative(s):</w:t>
      </w:r>
      <w:r w:rsidR="00082055" w:rsidRPr="007C4A4D">
        <w:rPr>
          <w:rFonts w:ascii="Arial" w:eastAsia="Arial" w:hAnsi="Arial" w:cstheme="minorBidi"/>
          <w:kern w:val="0"/>
          <w:sz w:val="28"/>
        </w:rPr>
        <w:t xml:space="preserve"> vaginal sexual contact, oral sexual contact, anal sexual contact, </w:t>
      </w:r>
      <w:r w:rsidR="00082055" w:rsidRPr="007C4A4D">
        <w:rPr>
          <w:rFonts w:ascii="Arial" w:eastAsia="Yu Gothic UI" w:hAnsi="Arial" w:cs="Arial"/>
          <w:kern w:val="0"/>
          <w:sz w:val="28"/>
          <w:szCs w:val="28"/>
        </w:rPr>
        <w:t>sexual bestiality, masturbation, sado-masochistic abuse, or lewd exhibition of the genitals.</w:t>
      </w:r>
      <w:r w:rsidR="00082055" w:rsidRPr="007C4A4D">
        <w:rPr>
          <w:rFonts w:ascii="Arial" w:eastAsia="Yu Gothic UI" w:hAnsi="Arial" w:cs="Arial"/>
          <w:b/>
          <w:bCs/>
          <w:kern w:val="0"/>
          <w:sz w:val="28"/>
          <w:szCs w:val="28"/>
          <w:vertAlign w:val="superscript"/>
        </w:rPr>
        <w:footnoteReference w:id="5"/>
      </w:r>
      <w:r w:rsidR="003542D7" w:rsidRPr="007C4A4D">
        <w:t xml:space="preserve"> </w:t>
      </w:r>
    </w:p>
    <w:p w14:paraId="4D5AC416" w14:textId="2BB31164" w:rsidR="003542D7" w:rsidRPr="007C4A4D" w:rsidRDefault="003542D7" w:rsidP="003542D7">
      <w:pPr>
        <w:spacing w:before="322" w:line="325" w:lineRule="exact"/>
        <w:jc w:val="both"/>
        <w:textAlignment w:val="baseline"/>
        <w:rPr>
          <w:rFonts w:ascii="Arial" w:eastAsia="Arial" w:hAnsi="Arial" w:cs="Arial"/>
          <w:i/>
          <w:iCs/>
          <w:kern w:val="0"/>
          <w:sz w:val="28"/>
          <w:szCs w:val="28"/>
          <w:u w:val="single"/>
          <w14:ligatures w14:val="none"/>
        </w:rPr>
      </w:pPr>
      <w:r w:rsidRPr="007C4A4D">
        <w:rPr>
          <w:rFonts w:ascii="Arial" w:hAnsi="Arial" w:cs="Arial"/>
          <w:i/>
          <w:iCs/>
          <w:sz w:val="28"/>
          <w:szCs w:val="28"/>
          <w:u w:val="single"/>
        </w:rPr>
        <w:t>Include additional definition(s) as appropriate:</w:t>
      </w:r>
    </w:p>
    <w:p w14:paraId="5F06FF31" w14:textId="77777777" w:rsidR="00082055" w:rsidRPr="007C4A4D" w:rsidRDefault="00082055" w:rsidP="003542D7">
      <w:pPr>
        <w:spacing w:before="322" w:line="325" w:lineRule="exact"/>
        <w:ind w:left="720" w:firstLine="720"/>
        <w:jc w:val="both"/>
        <w:textAlignment w:val="baseline"/>
        <w:rPr>
          <w:rFonts w:ascii="Arial" w:eastAsia="Arial" w:hAnsi="Arial"/>
          <w:b/>
          <w:kern w:val="0"/>
          <w:sz w:val="17"/>
          <w:szCs w:val="22"/>
          <w14:ligatures w14:val="none"/>
        </w:rPr>
      </w:pPr>
      <w:r w:rsidRPr="007C4A4D">
        <w:rPr>
          <w:rFonts w:ascii="Arial" w:eastAsia="Arial" w:hAnsi="Arial"/>
          <w:kern w:val="0"/>
          <w:sz w:val="28"/>
          <w:szCs w:val="22"/>
          <w14:ligatures w14:val="none"/>
        </w:rPr>
        <w:t>“Simulated” means the explicit depiction of any sexual conduct which creates the appearance of such conduct and which exhibits any uncovered portion of the breasts, genitals or buttocks.</w:t>
      </w:r>
      <w:r w:rsidRPr="007C4A4D">
        <w:rPr>
          <w:rFonts w:ascii="Arial" w:eastAsia="Arial" w:hAnsi="Arial"/>
          <w:kern w:val="0"/>
          <w:sz w:val="28"/>
          <w:szCs w:val="22"/>
          <w:vertAlign w:val="superscript"/>
          <w14:ligatures w14:val="none"/>
        </w:rPr>
        <w:footnoteReference w:id="6"/>
      </w:r>
    </w:p>
    <w:p w14:paraId="7D33F330" w14:textId="77777777" w:rsidR="00082055" w:rsidRPr="007C4A4D" w:rsidRDefault="00082055" w:rsidP="003542D7">
      <w:pPr>
        <w:spacing w:before="322" w:line="325" w:lineRule="exact"/>
        <w:ind w:left="720"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“Vaginal sexual contact” means conduct between persons consisting of contact between the penis and the vagina or vulva.</w:t>
      </w:r>
      <w:r w:rsidRPr="007C4A4D">
        <w:rPr>
          <w:rFonts w:ascii="Arial" w:eastAsia="Arial" w:hAnsi="Arial"/>
          <w:kern w:val="0"/>
          <w:sz w:val="28"/>
          <w:szCs w:val="22"/>
          <w:vertAlign w:val="superscript"/>
          <w14:ligatures w14:val="none"/>
        </w:rPr>
        <w:footnoteReference w:id="7"/>
      </w:r>
    </w:p>
    <w:p w14:paraId="4D057BF0" w14:textId="77777777" w:rsidR="00082055" w:rsidRPr="007C4A4D" w:rsidRDefault="00082055" w:rsidP="00082055">
      <w:pPr>
        <w:widowControl w:val="0"/>
        <w:autoSpaceDE w:val="0"/>
        <w:autoSpaceDN w:val="0"/>
        <w:adjustRightInd w:val="0"/>
        <w:spacing w:before="0"/>
        <w:ind w:firstLine="720"/>
        <w:jc w:val="both"/>
        <w:rPr>
          <w:rFonts w:ascii="Arial" w:eastAsia="Arial" w:hAnsi="Arial"/>
          <w:kern w:val="0"/>
          <w:sz w:val="28"/>
          <w:szCs w:val="22"/>
          <w14:ligatures w14:val="none"/>
        </w:rPr>
      </w:pPr>
    </w:p>
    <w:p w14:paraId="667077A2" w14:textId="77777777" w:rsidR="00082055" w:rsidRPr="007C4A4D" w:rsidRDefault="00082055" w:rsidP="003542D7">
      <w:pPr>
        <w:widowControl w:val="0"/>
        <w:autoSpaceDE w:val="0"/>
        <w:autoSpaceDN w:val="0"/>
        <w:adjustRightInd w:val="0"/>
        <w:spacing w:before="0"/>
        <w:ind w:left="720" w:firstLine="720"/>
        <w:jc w:val="both"/>
        <w:rPr>
          <w:rFonts w:ascii="Arial" w:eastAsia="Arial" w:hAnsi="Arial"/>
          <w:kern w:val="0"/>
          <w:sz w:val="28"/>
          <w:szCs w:val="22"/>
          <w14:ligatures w14:val="none"/>
        </w:rPr>
      </w:pPr>
      <w:r w:rsidRPr="007C4A4D">
        <w:rPr>
          <w:rFonts w:ascii="Arial" w:eastAsia="Arial" w:hAnsi="Arial"/>
          <w:kern w:val="0"/>
          <w:sz w:val="28"/>
          <w:szCs w:val="22"/>
          <w14:ligatures w14:val="none"/>
        </w:rPr>
        <w:t xml:space="preserve">“Oral sexual </w:t>
      </w:r>
      <w:bookmarkStart w:id="0" w:name="_Hlk140843675"/>
      <w:r w:rsidRPr="007C4A4D">
        <w:rPr>
          <w:rFonts w:ascii="Arial" w:eastAsia="Arial" w:hAnsi="Arial"/>
          <w:kern w:val="0"/>
          <w:sz w:val="28"/>
          <w:szCs w:val="22"/>
          <w14:ligatures w14:val="none"/>
        </w:rPr>
        <w:t xml:space="preserve">contact” </w:t>
      </w:r>
      <w:bookmarkEnd w:id="0"/>
      <w:r w:rsidRPr="007C4A4D">
        <w:rPr>
          <w:rFonts w:ascii="Arial" w:eastAsia="Arial" w:hAnsi="Arial"/>
          <w:kern w:val="0"/>
          <w:sz w:val="28"/>
          <w:szCs w:val="22"/>
          <w14:ligatures w14:val="none"/>
        </w:rPr>
        <w:t xml:space="preserve">means conduct between persons consisting of contact between the mouth and the penis, the mouth and the anus, or the mouth and the vulva </w:t>
      </w:r>
      <w:r w:rsidRPr="007C4A4D">
        <w:rPr>
          <w:rFonts w:ascii="Arial" w:eastAsia="Arial" w:hAnsi="Arial"/>
          <w:kern w:val="0"/>
          <w:sz w:val="28"/>
          <w:szCs w:val="22"/>
          <w14:ligatures w14:val="none"/>
        </w:rPr>
        <w:lastRenderedPageBreak/>
        <w:t>or vagina.</w:t>
      </w:r>
      <w:r w:rsidRPr="007C4A4D">
        <w:rPr>
          <w:rFonts w:ascii="Arial" w:eastAsia="Arial" w:hAnsi="Arial"/>
          <w:kern w:val="0"/>
          <w:sz w:val="28"/>
          <w:szCs w:val="22"/>
          <w:vertAlign w:val="superscript"/>
          <w14:ligatures w14:val="none"/>
        </w:rPr>
        <w:footnoteReference w:id="8"/>
      </w:r>
    </w:p>
    <w:p w14:paraId="03AA6CB4" w14:textId="77777777" w:rsidR="00082055" w:rsidRPr="007C4A4D" w:rsidRDefault="00082055" w:rsidP="00082055">
      <w:pPr>
        <w:widowControl w:val="0"/>
        <w:autoSpaceDE w:val="0"/>
        <w:autoSpaceDN w:val="0"/>
        <w:adjustRightInd w:val="0"/>
        <w:spacing w:before="0"/>
        <w:ind w:firstLine="720"/>
        <w:jc w:val="both"/>
        <w:rPr>
          <w:rFonts w:ascii="Arial" w:eastAsia="Arial" w:hAnsi="Arial"/>
          <w:kern w:val="0"/>
          <w:sz w:val="28"/>
          <w:szCs w:val="22"/>
          <w14:ligatures w14:val="none"/>
        </w:rPr>
      </w:pPr>
    </w:p>
    <w:p w14:paraId="3C18E99E" w14:textId="56F105A4" w:rsidR="00082055" w:rsidRPr="007C4A4D" w:rsidRDefault="00082055" w:rsidP="003542D7">
      <w:pPr>
        <w:spacing w:before="18" w:line="315" w:lineRule="exact"/>
        <w:ind w:left="720" w:firstLine="720"/>
        <w:jc w:val="both"/>
        <w:textAlignment w:val="baseline"/>
        <w:rPr>
          <w:rFonts w:ascii="Arial" w:eastAsia="Yu Gothic UI" w:hAnsi="Arial" w:cs="Arial"/>
          <w:kern w:val="0"/>
          <w:sz w:val="28"/>
          <w:szCs w:val="28"/>
        </w:rPr>
      </w:pPr>
      <w:r w:rsidRPr="007C4A4D">
        <w:rPr>
          <w:rFonts w:ascii="Arial" w:eastAsia="Arial" w:hAnsi="Arial" w:cstheme="minorBidi"/>
          <w:spacing w:val="-4"/>
          <w:kern w:val="0"/>
          <w:sz w:val="28"/>
        </w:rPr>
        <w:t xml:space="preserve">“Anal sexual </w:t>
      </w:r>
      <w:r w:rsidRPr="007C4A4D">
        <w:rPr>
          <w:rFonts w:ascii="Arial" w:eastAsia="Arial" w:hAnsi="Arial"/>
          <w:kern w:val="0"/>
          <w:sz w:val="28"/>
          <w:szCs w:val="22"/>
          <w14:ligatures w14:val="none"/>
        </w:rPr>
        <w:t xml:space="preserve">contact” </w:t>
      </w:r>
      <w:r w:rsidRPr="007C4A4D">
        <w:rPr>
          <w:rFonts w:ascii="Arial" w:eastAsia="Arial" w:hAnsi="Arial" w:cstheme="minorBidi"/>
          <w:spacing w:val="-4"/>
          <w:kern w:val="0"/>
          <w:sz w:val="28"/>
        </w:rPr>
        <w:t>means conduct between persons consisting of contact between the penis and anus.</w:t>
      </w:r>
      <w:r w:rsidRPr="007C4A4D">
        <w:rPr>
          <w:rFonts w:ascii="Arial" w:eastAsia="Arial" w:hAnsi="Arial" w:cstheme="minorBidi"/>
          <w:spacing w:val="-4"/>
          <w:kern w:val="0"/>
          <w:sz w:val="28"/>
          <w:vertAlign w:val="superscript"/>
        </w:rPr>
        <w:footnoteReference w:id="9"/>
      </w:r>
    </w:p>
    <w:p w14:paraId="0AEB3CD5" w14:textId="3D5CC241" w:rsidR="00184DCE" w:rsidRPr="007C4A4D" w:rsidRDefault="00082055" w:rsidP="003542D7">
      <w:pPr>
        <w:spacing w:before="364" w:line="318" w:lineRule="exact"/>
        <w:ind w:left="720" w:firstLine="720"/>
        <w:jc w:val="both"/>
        <w:textAlignment w:val="baseline"/>
        <w:rPr>
          <w:rFonts w:ascii="Arial" w:eastAsia="Arial" w:hAnsi="Arial"/>
          <w:spacing w:val="-7"/>
          <w:kern w:val="0"/>
          <w:sz w:val="28"/>
          <w:szCs w:val="22"/>
          <w14:ligatures w14:val="none"/>
        </w:rPr>
      </w:pPr>
      <w:r w:rsidRPr="007C4A4D">
        <w:rPr>
          <w:rFonts w:ascii="Arial" w:eastAsia="Arial" w:hAnsi="Arial"/>
          <w:spacing w:val="-7"/>
          <w:kern w:val="0"/>
          <w:sz w:val="28"/>
          <w:szCs w:val="22"/>
          <w14:ligatures w14:val="none"/>
        </w:rPr>
        <w:t xml:space="preserve">“Sado-masochistic abuse” means flagellation or torture by or upon a person clad in undergarments, a mask or bizarre costume, or the condition of being fettered, bound or otherwise physically restrained on the part of one so clothed. </w:t>
      </w:r>
      <w:r w:rsidRPr="007C4A4D">
        <w:rPr>
          <w:rFonts w:ascii="Arial" w:eastAsia="Arial" w:hAnsi="Arial"/>
          <w:spacing w:val="-7"/>
          <w:kern w:val="0"/>
          <w:sz w:val="28"/>
          <w:szCs w:val="22"/>
          <w:vertAlign w:val="superscript"/>
          <w14:ligatures w14:val="none"/>
        </w:rPr>
        <w:footnoteReference w:id="10"/>
      </w:r>
      <w:r w:rsidRPr="007C4A4D">
        <w:rPr>
          <w:rFonts w:ascii="Arial" w:eastAsia="Arial" w:hAnsi="Arial"/>
          <w:spacing w:val="-7"/>
          <w:kern w:val="0"/>
          <w:sz w:val="28"/>
          <w:szCs w:val="22"/>
          <w14:ligatures w14:val="none"/>
        </w:rPr>
        <w:t xml:space="preserve">    </w:t>
      </w:r>
    </w:p>
    <w:p w14:paraId="0EC95793" w14:textId="77777777" w:rsidR="00394582" w:rsidRPr="007C4A4D" w:rsidRDefault="00082055" w:rsidP="00CA70BB">
      <w:pPr>
        <w:spacing w:before="335"/>
        <w:jc w:val="both"/>
        <w:textAlignment w:val="baseline"/>
        <w:rPr>
          <w:rFonts w:ascii="Arial" w:eastAsia="Arial" w:hAnsi="Arial" w:cs="Arial"/>
          <w:i/>
          <w:kern w:val="0"/>
          <w:sz w:val="28"/>
          <w:szCs w:val="28"/>
          <w14:ligatures w14:val="none"/>
        </w:rPr>
      </w:pPr>
      <w:r w:rsidRPr="007C4A4D">
        <w:rPr>
          <w:rFonts w:ascii="Arial" w:hAnsi="Arial" w:cs="Arial"/>
          <w:i/>
          <w:iCs/>
          <w:sz w:val="28"/>
          <w:szCs w:val="28"/>
          <w:u w:val="single"/>
        </w:rPr>
        <w:t>[Add where</w:t>
      </w:r>
      <w:r w:rsidR="0041002F" w:rsidRPr="007C4A4D">
        <w:rPr>
          <w:rFonts w:ascii="Arial" w:eastAsia="Arial" w:hAnsi="Arial" w:cs="Arial"/>
          <w:i/>
          <w:kern w:val="0"/>
          <w:sz w:val="28"/>
          <w:szCs w:val="28"/>
          <w:u w:val="single"/>
          <w14:ligatures w14:val="none"/>
        </w:rPr>
        <w:t xml:space="preserve"> age of child is in issue:</w:t>
      </w:r>
    </w:p>
    <w:p w14:paraId="708C59F6" w14:textId="5D314B16" w:rsidR="00082055" w:rsidRPr="007C4A4D" w:rsidRDefault="00394582" w:rsidP="00CA70BB">
      <w:pPr>
        <w:spacing w:before="335"/>
        <w:jc w:val="both"/>
        <w:textAlignment w:val="baseline"/>
        <w:rPr>
          <w:rFonts w:ascii="Arial" w:eastAsia="Arial" w:hAnsi="Arial" w:cs="Arial"/>
          <w:i/>
          <w:kern w:val="0"/>
          <w:sz w:val="28"/>
          <w:szCs w:val="28"/>
          <w:u w:val="single"/>
          <w14:ligatures w14:val="none"/>
        </w:rPr>
      </w:pPr>
      <w:r w:rsidRPr="007C4A4D">
        <w:rPr>
          <w:rFonts w:ascii="Arial" w:eastAsia="Arial" w:hAnsi="Arial" w:cs="Arial"/>
          <w:i/>
          <w:kern w:val="0"/>
          <w:sz w:val="28"/>
          <w:szCs w:val="28"/>
          <w14:ligatures w14:val="none"/>
        </w:rPr>
        <w:tab/>
      </w:r>
      <w:r w:rsidR="00082055" w:rsidRPr="007C4A4D">
        <w:rPr>
          <w:rFonts w:ascii="Arial" w:eastAsia="Arial" w:hAnsi="Arial"/>
          <w:kern w:val="0"/>
          <w:sz w:val="28"/>
          <w:szCs w:val="22"/>
          <w14:ligatures w14:val="none"/>
        </w:rPr>
        <w:t>In order to determine whether the person who participated in a sexual performance was under the age of seventeen years, you may make such determination by</w:t>
      </w:r>
    </w:p>
    <w:p w14:paraId="536427A1" w14:textId="77777777" w:rsidR="00082055" w:rsidRPr="007C4A4D" w:rsidRDefault="00082055" w:rsidP="00082055">
      <w:pPr>
        <w:spacing w:before="0" w:line="648" w:lineRule="exact"/>
        <w:ind w:left="720"/>
        <w:textAlignment w:val="baseline"/>
        <w:rPr>
          <w:rFonts w:ascii="Arial" w:eastAsia="Arial" w:hAnsi="Arial"/>
          <w:i/>
          <w:kern w:val="0"/>
          <w:sz w:val="28"/>
          <w:szCs w:val="22"/>
          <w14:ligatures w14:val="none"/>
        </w:rPr>
      </w:pPr>
      <w:r w:rsidRPr="007C4A4D">
        <w:rPr>
          <w:rFonts w:ascii="Arial" w:eastAsia="Arial" w:hAnsi="Arial"/>
          <w:i/>
          <w:kern w:val="0"/>
          <w:sz w:val="28"/>
          <w:szCs w:val="22"/>
          <w:u w:val="single"/>
          <w14:ligatures w14:val="none"/>
        </w:rPr>
        <w:t>Select appropriate alternative(s):</w:t>
      </w:r>
      <w:r w:rsidRPr="007C4A4D">
        <w:rPr>
          <w:rFonts w:ascii="Arial" w:eastAsia="Arial" w:hAnsi="Arial"/>
          <w:i/>
          <w:kern w:val="0"/>
          <w:sz w:val="28"/>
          <w:szCs w:val="22"/>
          <w14:ligatures w14:val="none"/>
        </w:rPr>
        <w:t xml:space="preserve"> </w:t>
      </w:r>
      <w:r w:rsidRPr="007C4A4D">
        <w:rPr>
          <w:rFonts w:ascii="Arial" w:eastAsia="Arial" w:hAnsi="Arial"/>
          <w:i/>
          <w:kern w:val="0"/>
          <w:sz w:val="28"/>
          <w:szCs w:val="22"/>
          <w14:ligatures w14:val="none"/>
        </w:rPr>
        <w:br/>
      </w:r>
      <w:r w:rsidRPr="007C4A4D">
        <w:rPr>
          <w:rFonts w:ascii="Arial" w:eastAsia="Arial" w:hAnsi="Arial"/>
          <w:kern w:val="0"/>
          <w:sz w:val="28"/>
          <w:szCs w:val="22"/>
          <w14:ligatures w14:val="none"/>
        </w:rPr>
        <w:t>personal inspection of the child,</w:t>
      </w:r>
    </w:p>
    <w:p w14:paraId="44512FAB" w14:textId="77777777" w:rsidR="00082055" w:rsidRPr="007C4A4D" w:rsidRDefault="00082055" w:rsidP="00082055">
      <w:pPr>
        <w:spacing w:before="329" w:line="325" w:lineRule="exact"/>
        <w:ind w:left="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inspection of a photograph [or motion picture] which constituted the sexual performance,</w:t>
      </w:r>
    </w:p>
    <w:p w14:paraId="799E8756" w14:textId="77777777" w:rsidR="00082055" w:rsidRPr="007C4A4D" w:rsidRDefault="00082055" w:rsidP="00082055">
      <w:pPr>
        <w:spacing w:before="319" w:line="325" w:lineRule="exact"/>
        <w:ind w:left="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oral testimony by a witness to the sexual performance as to the age of the child based upon the child’s appearance,</w:t>
      </w:r>
    </w:p>
    <w:p w14:paraId="51BAF4BD" w14:textId="77777777" w:rsidR="00082055" w:rsidRPr="007C4A4D" w:rsidRDefault="00082055" w:rsidP="00082055">
      <w:pPr>
        <w:spacing w:before="339" w:after="522" w:line="314" w:lineRule="exact"/>
        <w:ind w:left="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 xml:space="preserve">expert medical testimony based upon the appearance of the child in the sexual performance. </w:t>
      </w:r>
      <w:r w:rsidRPr="007C4A4D">
        <w:rPr>
          <w:rFonts w:ascii="Arial" w:eastAsia="Arial" w:hAnsi="Arial"/>
          <w:kern w:val="0"/>
          <w:sz w:val="28"/>
          <w:szCs w:val="22"/>
          <w:vertAlign w:val="superscript"/>
          <w14:ligatures w14:val="none"/>
        </w:rPr>
        <w:footnoteReference w:id="11"/>
      </w:r>
      <w:r w:rsidRPr="007C4A4D">
        <w:rPr>
          <w:rFonts w:ascii="Arial" w:eastAsia="Arial" w:hAnsi="Arial"/>
          <w:kern w:val="0"/>
          <w:sz w:val="28"/>
          <w:szCs w:val="22"/>
          <w14:ligatures w14:val="none"/>
        </w:rPr>
        <w:t xml:space="preserve"> ]</w:t>
      </w:r>
    </w:p>
    <w:p w14:paraId="0C4BD24D" w14:textId="77777777" w:rsidR="00082055" w:rsidRPr="007C4A4D" w:rsidRDefault="00082055" w:rsidP="00082055">
      <w:pPr>
        <w:spacing w:before="0"/>
        <w:rPr>
          <w:rFonts w:eastAsia="PMingLiU"/>
          <w:kern w:val="0"/>
          <w:sz w:val="22"/>
          <w:szCs w:val="22"/>
          <w14:ligatures w14:val="none"/>
        </w:rPr>
        <w:sectPr w:rsidR="00082055" w:rsidRPr="007C4A4D" w:rsidSect="000E5FC3">
          <w:footerReference w:type="default" r:id="rId7"/>
          <w:type w:val="continuous"/>
          <w:pgSz w:w="12240" w:h="15840"/>
          <w:pgMar w:top="1080" w:right="2139" w:bottom="907" w:left="2153" w:header="720" w:footer="1113" w:gutter="0"/>
          <w:cols w:space="720"/>
        </w:sectPr>
      </w:pPr>
    </w:p>
    <w:p w14:paraId="53CF8D11" w14:textId="77777777" w:rsidR="00082055" w:rsidRPr="007C4A4D" w:rsidRDefault="00082055" w:rsidP="00082055">
      <w:pPr>
        <w:spacing w:before="8" w:line="319" w:lineRule="exact"/>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lastRenderedPageBreak/>
        <w:t>[</w:t>
      </w:r>
      <w:r w:rsidRPr="007C4A4D">
        <w:rPr>
          <w:rFonts w:ascii="Arial" w:eastAsia="Arial" w:hAnsi="Arial"/>
          <w:i/>
          <w:kern w:val="0"/>
          <w:sz w:val="28"/>
          <w:szCs w:val="22"/>
          <w14:ligatures w14:val="none"/>
        </w:rPr>
        <w:t>Add where the affirmative defense is not raised:</w:t>
      </w:r>
    </w:p>
    <w:p w14:paraId="5C63AEC0" w14:textId="77777777" w:rsidR="00082055" w:rsidRPr="007C4A4D" w:rsidRDefault="00082055" w:rsidP="00082055">
      <w:pPr>
        <w:spacing w:before="43" w:line="313" w:lineRule="exact"/>
        <w:ind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It is not an element of this crime, and thus the People are not required to prove beyond a reasonable doubt, that the defendant knew the child was less than seventeen years of age.</w:t>
      </w:r>
      <w:r w:rsidRPr="007C4A4D">
        <w:rPr>
          <w:rFonts w:ascii="Arial" w:eastAsia="Arial" w:hAnsi="Arial"/>
          <w:b/>
          <w:kern w:val="0"/>
          <w:sz w:val="28"/>
          <w:szCs w:val="22"/>
          <w:vertAlign w:val="superscript"/>
          <w14:ligatures w14:val="none"/>
        </w:rPr>
        <w:t>12</w:t>
      </w:r>
      <w:r w:rsidRPr="007C4A4D">
        <w:rPr>
          <w:rFonts w:ascii="Arial" w:eastAsia="Arial" w:hAnsi="Arial"/>
          <w:kern w:val="0"/>
          <w:sz w:val="28"/>
          <w:szCs w:val="22"/>
          <w14:ligatures w14:val="none"/>
        </w:rPr>
        <w:t>]</w:t>
      </w:r>
    </w:p>
    <w:p w14:paraId="7733D2F7" w14:textId="77777777" w:rsidR="00082055" w:rsidRPr="007C4A4D" w:rsidRDefault="00082055" w:rsidP="00082055">
      <w:pPr>
        <w:spacing w:before="332" w:line="321" w:lineRule="exact"/>
        <w:ind w:firstLine="720"/>
        <w:jc w:val="both"/>
        <w:textAlignment w:val="baseline"/>
        <w:rPr>
          <w:rFonts w:ascii="Arial" w:eastAsia="Arial" w:hAnsi="Arial"/>
          <w:spacing w:val="-3"/>
          <w:kern w:val="0"/>
          <w:sz w:val="28"/>
          <w:szCs w:val="22"/>
          <w14:ligatures w14:val="none"/>
        </w:rPr>
      </w:pPr>
      <w:r w:rsidRPr="007C4A4D">
        <w:rPr>
          <w:rFonts w:ascii="Arial" w:eastAsia="Arial" w:hAnsi="Arial"/>
          <w:spacing w:val="-3"/>
          <w:kern w:val="0"/>
          <w:sz w:val="28"/>
          <w:szCs w:val="22"/>
          <w14:ligatures w14:val="none"/>
        </w:rPr>
        <w:t>In order for you to find the defendant guilty of this crime, the People are required to prove, from all of the evidence in the case, beyond a reasonable doubt, both of the following two elements:</w:t>
      </w:r>
    </w:p>
    <w:p w14:paraId="1A31380E" w14:textId="36E8BE22" w:rsidR="00082055" w:rsidRPr="007C4A4D" w:rsidRDefault="00082055" w:rsidP="00082055">
      <w:pPr>
        <w:numPr>
          <w:ilvl w:val="0"/>
          <w:numId w:val="1"/>
        </w:numPr>
        <w:tabs>
          <w:tab w:val="left" w:pos="1440"/>
        </w:tabs>
        <w:spacing w:before="324" w:line="324" w:lineRule="exact"/>
        <w:ind w:left="1440" w:hanging="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 xml:space="preserve">That on or about </w:t>
      </w:r>
      <w:r w:rsidRPr="007C4A4D">
        <w:rPr>
          <w:rFonts w:ascii="Arial" w:eastAsia="Arial" w:hAnsi="Arial"/>
          <w:i/>
          <w:kern w:val="0"/>
          <w:sz w:val="28"/>
          <w:szCs w:val="22"/>
          <w:u w:val="single"/>
          <w14:ligatures w14:val="none"/>
        </w:rPr>
        <w:t xml:space="preserve"> (date)</w:t>
      </w:r>
      <w:r w:rsidRPr="007C4A4D">
        <w:rPr>
          <w:rFonts w:ascii="Arial" w:eastAsia="Arial" w:hAnsi="Arial"/>
          <w:kern w:val="0"/>
          <w:sz w:val="28"/>
          <w:szCs w:val="22"/>
          <w14:ligatures w14:val="none"/>
        </w:rPr>
        <w:t xml:space="preserve">, in the County of </w:t>
      </w:r>
      <w:r w:rsidRPr="007C4A4D">
        <w:rPr>
          <w:rFonts w:ascii="Arial" w:eastAsia="Arial" w:hAnsi="Arial"/>
          <w:i/>
          <w:kern w:val="0"/>
          <w:sz w:val="28"/>
          <w:szCs w:val="22"/>
          <w:u w:val="single"/>
          <w14:ligatures w14:val="none"/>
        </w:rPr>
        <w:t xml:space="preserve"> (County),</w:t>
      </w:r>
      <w:r w:rsidRPr="007C4A4D">
        <w:rPr>
          <w:rFonts w:ascii="Arial" w:eastAsia="Arial" w:hAnsi="Arial"/>
          <w:i/>
          <w:kern w:val="0"/>
          <w:sz w:val="28"/>
          <w:szCs w:val="22"/>
          <w14:ligatures w14:val="none"/>
        </w:rPr>
        <w:t xml:space="preserve"> </w:t>
      </w:r>
      <w:r w:rsidRPr="007C4A4D">
        <w:rPr>
          <w:rFonts w:ascii="Arial" w:eastAsia="Arial" w:hAnsi="Arial"/>
          <w:kern w:val="0"/>
          <w:sz w:val="28"/>
          <w:szCs w:val="22"/>
          <w14:ligatures w14:val="none"/>
        </w:rPr>
        <w:t xml:space="preserve">the defendant, </w:t>
      </w:r>
      <w:r w:rsidRPr="007C4A4D">
        <w:rPr>
          <w:rFonts w:ascii="Arial" w:eastAsia="Arial" w:hAnsi="Arial"/>
          <w:i/>
          <w:kern w:val="0"/>
          <w:sz w:val="28"/>
          <w:szCs w:val="22"/>
          <w:u w:val="single"/>
          <w14:ligatures w14:val="none"/>
        </w:rPr>
        <w:t xml:space="preserve"> (defendant’s name)</w:t>
      </w:r>
      <w:r w:rsidRPr="007C4A4D">
        <w:rPr>
          <w:rFonts w:ascii="Arial" w:eastAsia="Arial" w:hAnsi="Arial"/>
          <w:kern w:val="0"/>
          <w:sz w:val="28"/>
          <w:szCs w:val="22"/>
          <w14:ligatures w14:val="none"/>
        </w:rPr>
        <w:t>, produced, directed, or promoted a performance which included sexual conduct by a child less than seventeen years of age; and</w:t>
      </w:r>
    </w:p>
    <w:p w14:paraId="6D404155" w14:textId="77777777" w:rsidR="00082055" w:rsidRPr="007C4A4D" w:rsidRDefault="00082055" w:rsidP="00082055">
      <w:pPr>
        <w:numPr>
          <w:ilvl w:val="0"/>
          <w:numId w:val="1"/>
        </w:numPr>
        <w:tabs>
          <w:tab w:val="left" w:pos="1440"/>
        </w:tabs>
        <w:spacing w:before="331" w:line="322" w:lineRule="exact"/>
        <w:ind w:left="1440" w:hanging="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That the defendant knew the character and content of such performance.</w:t>
      </w:r>
    </w:p>
    <w:p w14:paraId="55174852" w14:textId="77777777" w:rsidR="00082055" w:rsidRPr="007C4A4D" w:rsidRDefault="00082055" w:rsidP="00082055">
      <w:pPr>
        <w:spacing w:before="335" w:line="319" w:lineRule="exact"/>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w:t>
      </w:r>
      <w:r w:rsidRPr="007C4A4D">
        <w:rPr>
          <w:rFonts w:ascii="Arial" w:eastAsia="Arial" w:hAnsi="Arial"/>
          <w:i/>
          <w:kern w:val="0"/>
          <w:sz w:val="28"/>
          <w:szCs w:val="22"/>
          <w14:ligatures w14:val="none"/>
        </w:rPr>
        <w:t>NOTE: If the affirmative defense does not apply:</w:t>
      </w:r>
    </w:p>
    <w:p w14:paraId="793E6819" w14:textId="77777777" w:rsidR="00082055" w:rsidRPr="007C4A4D" w:rsidRDefault="00082055" w:rsidP="00082055">
      <w:pPr>
        <w:spacing w:before="331" w:line="321" w:lineRule="exact"/>
        <w:ind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If you find the People have proven beyond a reasonable doubt both of those elements, you must find the defendant guilty of this crime.</w:t>
      </w:r>
    </w:p>
    <w:p w14:paraId="6A2C8004" w14:textId="77777777" w:rsidR="00082055" w:rsidRPr="007C4A4D" w:rsidRDefault="00082055" w:rsidP="00082055">
      <w:pPr>
        <w:spacing w:before="333" w:line="321" w:lineRule="exact"/>
        <w:ind w:firstLine="720"/>
        <w:jc w:val="both"/>
        <w:textAlignment w:val="baseline"/>
        <w:rPr>
          <w:rFonts w:ascii="Arial" w:eastAsia="Arial" w:hAnsi="Arial"/>
          <w:spacing w:val="-3"/>
          <w:kern w:val="0"/>
          <w:sz w:val="28"/>
          <w:szCs w:val="22"/>
          <w14:ligatures w14:val="none"/>
        </w:rPr>
      </w:pPr>
      <w:r w:rsidRPr="007C4A4D">
        <w:rPr>
          <w:rFonts w:ascii="Arial" w:eastAsia="Arial" w:hAnsi="Arial"/>
          <w:spacing w:val="-3"/>
          <w:kern w:val="0"/>
          <w:sz w:val="28"/>
          <w:szCs w:val="22"/>
          <w14:ligatures w14:val="none"/>
        </w:rPr>
        <w:t>If you find the People have not proven beyond a reasonable doubt either one or both of those elements, you must find the defendant not guilty of this crime.</w:t>
      </w:r>
    </w:p>
    <w:p w14:paraId="4837F9E3" w14:textId="77777777" w:rsidR="00082055" w:rsidRPr="007C4A4D" w:rsidRDefault="00082055" w:rsidP="00082055">
      <w:pPr>
        <w:spacing w:before="336" w:line="319" w:lineRule="exact"/>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w:t>
      </w:r>
      <w:r w:rsidRPr="007C4A4D">
        <w:rPr>
          <w:rFonts w:ascii="Arial" w:eastAsia="Arial" w:hAnsi="Arial"/>
          <w:i/>
          <w:kern w:val="0"/>
          <w:sz w:val="28"/>
          <w:szCs w:val="22"/>
          <w14:ligatures w14:val="none"/>
        </w:rPr>
        <w:t>NOTE: If the affirmative defense does apply:</w:t>
      </w:r>
    </w:p>
    <w:p w14:paraId="267A4A8A" w14:textId="77777777" w:rsidR="00082055" w:rsidRPr="007C4A4D" w:rsidRDefault="00082055" w:rsidP="00082055">
      <w:pPr>
        <w:spacing w:before="321" w:line="326" w:lineRule="exact"/>
        <w:ind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If you find that the People have not proven beyond a reasonable doubt either one or both of those elements, you must find the defendant not guilty of the crime of Promoting a Sexual Performance by a Child.</w:t>
      </w:r>
    </w:p>
    <w:p w14:paraId="3C8A5824" w14:textId="77777777" w:rsidR="00082055" w:rsidRPr="007C4A4D" w:rsidRDefault="00082055" w:rsidP="00082055">
      <w:pPr>
        <w:spacing w:before="331" w:after="337" w:line="322" w:lineRule="exact"/>
        <w:ind w:firstLine="720"/>
        <w:jc w:val="both"/>
        <w:textAlignment w:val="baseline"/>
        <w:rPr>
          <w:rFonts w:ascii="Arial" w:eastAsia="Arial" w:hAnsi="Arial"/>
          <w:spacing w:val="-1"/>
          <w:kern w:val="0"/>
          <w:sz w:val="28"/>
          <w:szCs w:val="22"/>
          <w14:ligatures w14:val="none"/>
        </w:rPr>
      </w:pPr>
      <w:r w:rsidRPr="007C4A4D">
        <w:rPr>
          <w:rFonts w:ascii="Arial" w:eastAsia="Arial" w:hAnsi="Arial"/>
          <w:spacing w:val="-1"/>
          <w:kern w:val="0"/>
          <w:sz w:val="28"/>
          <w:szCs w:val="22"/>
          <w14:ligatures w14:val="none"/>
        </w:rPr>
        <w:t>If you find that the People have proven beyond a reasonable doubt each of those elements, you must consider an</w:t>
      </w:r>
    </w:p>
    <w:p w14:paraId="226425E9" w14:textId="62FDF245" w:rsidR="00082055" w:rsidRPr="007C4A4D" w:rsidRDefault="00215AA2" w:rsidP="00082055">
      <w:pPr>
        <w:spacing w:before="253" w:line="278" w:lineRule="exact"/>
        <w:ind w:left="720"/>
        <w:textAlignment w:val="baseline"/>
        <w:rPr>
          <w:rFonts w:ascii="Arial" w:eastAsia="Arial" w:hAnsi="Arial"/>
          <w:kern w:val="0"/>
          <w:sz w:val="14"/>
          <w:szCs w:val="22"/>
          <w:vertAlign w:val="superscript"/>
          <w14:ligatures w14:val="none"/>
        </w:rPr>
      </w:pPr>
      <w:r w:rsidRPr="007C4A4D">
        <w:rPr>
          <w:noProof/>
        </w:rPr>
        <mc:AlternateContent>
          <mc:Choice Requires="wps">
            <w:drawing>
              <wp:anchor distT="4294967295" distB="4294967295" distL="114300" distR="114300" simplePos="0" relativeHeight="251661312" behindDoc="0" locked="0" layoutInCell="1" allowOverlap="1" wp14:anchorId="531A1E83" wp14:editId="1CC8EB77">
                <wp:simplePos x="0" y="0"/>
                <wp:positionH relativeFrom="page">
                  <wp:posOffset>1367155</wp:posOffset>
                </wp:positionH>
                <wp:positionV relativeFrom="page">
                  <wp:posOffset>8747759</wp:posOffset>
                </wp:positionV>
                <wp:extent cx="1833880" cy="0"/>
                <wp:effectExtent l="0" t="0" r="0" b="0"/>
                <wp:wrapNone/>
                <wp:docPr id="40961194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line">
                          <a:avLst/>
                        </a:prstGeom>
                        <a:noFill/>
                        <a:ln w="1524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152CB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7.65pt,688.8pt" to="252.05pt,6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" strokeweight="1.2pt">
                <w10:wrap anchorx="page" anchory="page"/>
              </v:line>
            </w:pict>
          </mc:Fallback>
        </mc:AlternateContent>
      </w:r>
      <w:r w:rsidR="00082055" w:rsidRPr="007C4A4D">
        <w:rPr>
          <w:rFonts w:ascii="Arial" w:eastAsia="Arial" w:hAnsi="Arial"/>
          <w:kern w:val="0"/>
          <w:sz w:val="14"/>
          <w:szCs w:val="22"/>
          <w:vertAlign w:val="superscript"/>
          <w14:ligatures w14:val="none"/>
        </w:rPr>
        <w:t>12</w:t>
      </w:r>
      <w:r w:rsidR="00082055" w:rsidRPr="007C4A4D">
        <w:rPr>
          <w:rFonts w:ascii="Arial" w:eastAsia="Arial" w:hAnsi="Arial"/>
          <w:kern w:val="0"/>
          <w:szCs w:val="22"/>
          <w14:ligatures w14:val="none"/>
        </w:rPr>
        <w:t xml:space="preserve"> Penal Law § 15.05 (3).</w:t>
      </w:r>
    </w:p>
    <w:p w14:paraId="770F2466" w14:textId="77777777" w:rsidR="00082055" w:rsidRPr="007C4A4D" w:rsidRDefault="00082055" w:rsidP="00082055">
      <w:pPr>
        <w:spacing w:before="0"/>
        <w:rPr>
          <w:rFonts w:eastAsia="PMingLiU"/>
          <w:kern w:val="0"/>
          <w:sz w:val="22"/>
          <w:szCs w:val="22"/>
          <w14:ligatures w14:val="none"/>
        </w:rPr>
        <w:sectPr w:rsidR="00082055" w:rsidRPr="007C4A4D" w:rsidSect="000E5FC3">
          <w:pgSz w:w="12240" w:h="15840"/>
          <w:pgMar w:top="1080" w:right="2109" w:bottom="908" w:left="2153" w:header="720" w:footer="1118" w:gutter="0"/>
          <w:cols w:space="720"/>
        </w:sectPr>
      </w:pPr>
    </w:p>
    <w:p w14:paraId="1AF44535" w14:textId="77777777" w:rsidR="00082055" w:rsidRPr="007C4A4D" w:rsidRDefault="00082055" w:rsidP="00082055">
      <w:pPr>
        <w:spacing w:before="0" w:line="325" w:lineRule="exact"/>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lastRenderedPageBreak/>
        <w:t>affirmative defense the defendant has raised. Remember, if you have already found the defendant not guilty of Promoting a Sexual Performance by a Child, you will not consider the affirmative defense.</w:t>
      </w:r>
    </w:p>
    <w:p w14:paraId="280FC850" w14:textId="77777777" w:rsidR="00082055" w:rsidRPr="007C4A4D" w:rsidRDefault="00082055" w:rsidP="00082055">
      <w:pPr>
        <w:spacing w:before="324" w:line="325" w:lineRule="exact"/>
        <w:ind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Under our law, it is an affirmative defense to this charge of Promoting a Sexual Performance by a Child that</w:t>
      </w:r>
    </w:p>
    <w:p w14:paraId="00847889" w14:textId="77777777" w:rsidR="00082055" w:rsidRPr="007C4A4D" w:rsidRDefault="00082055" w:rsidP="00082055">
      <w:pPr>
        <w:spacing w:before="326" w:line="318" w:lineRule="exact"/>
        <w:ind w:left="720"/>
        <w:textAlignment w:val="baseline"/>
        <w:rPr>
          <w:rFonts w:ascii="Arial" w:eastAsia="Arial" w:hAnsi="Arial"/>
          <w:i/>
          <w:kern w:val="0"/>
          <w:sz w:val="28"/>
          <w:szCs w:val="22"/>
          <w14:ligatures w14:val="none"/>
        </w:rPr>
      </w:pPr>
      <w:r w:rsidRPr="007C4A4D">
        <w:rPr>
          <w:rFonts w:ascii="Arial" w:eastAsia="Arial" w:hAnsi="Arial"/>
          <w:i/>
          <w:kern w:val="0"/>
          <w:sz w:val="28"/>
          <w:szCs w:val="22"/>
          <w14:ligatures w14:val="none"/>
        </w:rPr>
        <w:t>Select appropriate alternative:</w:t>
      </w:r>
    </w:p>
    <w:p w14:paraId="7510E094" w14:textId="77777777" w:rsidR="00082055" w:rsidRPr="007C4A4D" w:rsidRDefault="00082055" w:rsidP="00082055">
      <w:pPr>
        <w:spacing w:before="336" w:line="312" w:lineRule="exact"/>
        <w:ind w:left="720"/>
        <w:jc w:val="both"/>
        <w:textAlignment w:val="baseline"/>
        <w:rPr>
          <w:rFonts w:ascii="Arial" w:eastAsia="Arial" w:hAnsi="Arial"/>
          <w:spacing w:val="-4"/>
          <w:kern w:val="0"/>
          <w:sz w:val="28"/>
          <w:szCs w:val="22"/>
          <w14:ligatures w14:val="none"/>
        </w:rPr>
      </w:pPr>
      <w:r w:rsidRPr="007C4A4D">
        <w:rPr>
          <w:rFonts w:ascii="Arial" w:eastAsia="Arial" w:hAnsi="Arial"/>
          <w:spacing w:val="-4"/>
          <w:kern w:val="0"/>
          <w:sz w:val="28"/>
          <w:szCs w:val="22"/>
          <w14:ligatures w14:val="none"/>
        </w:rPr>
        <w:t>the defendant in good faith reasonably believed the person appearing in the performance was seventeen years of age or older.</w:t>
      </w:r>
      <w:r w:rsidRPr="007C4A4D">
        <w:rPr>
          <w:rFonts w:ascii="Arial" w:eastAsia="Arial" w:hAnsi="Arial"/>
          <w:b/>
          <w:spacing w:val="-4"/>
          <w:kern w:val="0"/>
          <w:sz w:val="28"/>
          <w:szCs w:val="22"/>
          <w:vertAlign w:val="superscript"/>
          <w14:ligatures w14:val="none"/>
        </w:rPr>
        <w:t>13</w:t>
      </w:r>
      <w:r w:rsidRPr="007C4A4D">
        <w:rPr>
          <w:rFonts w:ascii="Arial" w:eastAsia="Arial" w:hAnsi="Arial"/>
          <w:b/>
          <w:spacing w:val="-4"/>
          <w:kern w:val="0"/>
          <w:sz w:val="17"/>
          <w:szCs w:val="22"/>
          <w14:ligatures w14:val="none"/>
        </w:rPr>
        <w:t xml:space="preserve"> </w:t>
      </w:r>
    </w:p>
    <w:p w14:paraId="2384928B" w14:textId="77777777" w:rsidR="00082055" w:rsidRPr="007C4A4D" w:rsidRDefault="00082055" w:rsidP="00082055">
      <w:pPr>
        <w:spacing w:before="356" w:line="325" w:lineRule="exact"/>
        <w:ind w:left="720"/>
        <w:textAlignment w:val="baseline"/>
        <w:rPr>
          <w:rFonts w:ascii="Arial" w:eastAsia="Arial" w:hAnsi="Arial"/>
          <w:spacing w:val="45"/>
          <w:kern w:val="0"/>
          <w:sz w:val="28"/>
          <w:szCs w:val="22"/>
          <w14:ligatures w14:val="none"/>
        </w:rPr>
      </w:pPr>
      <w:r w:rsidRPr="007C4A4D">
        <w:rPr>
          <w:rFonts w:ascii="Arial" w:eastAsia="Arial" w:hAnsi="Arial"/>
          <w:spacing w:val="45"/>
          <w:kern w:val="0"/>
          <w:sz w:val="28"/>
          <w:szCs w:val="22"/>
          <w14:ligatures w14:val="none"/>
        </w:rPr>
        <w:t>or</w:t>
      </w:r>
    </w:p>
    <w:p w14:paraId="2FF6986B" w14:textId="77777777" w:rsidR="00082055" w:rsidRPr="007C4A4D" w:rsidRDefault="00082055" w:rsidP="00082055">
      <w:pPr>
        <w:spacing w:before="292" w:line="325" w:lineRule="exact"/>
        <w:ind w:left="720"/>
        <w:jc w:val="both"/>
        <w:textAlignment w:val="baseline"/>
        <w:rPr>
          <w:rFonts w:ascii="Arial" w:eastAsia="Arial" w:hAnsi="Arial"/>
          <w:spacing w:val="-7"/>
          <w:kern w:val="0"/>
          <w:sz w:val="28"/>
          <w:szCs w:val="22"/>
          <w14:ligatures w14:val="none"/>
        </w:rPr>
      </w:pPr>
      <w:r w:rsidRPr="007C4A4D">
        <w:rPr>
          <w:rFonts w:ascii="Arial" w:eastAsia="Arial" w:hAnsi="Arial"/>
          <w:spacing w:val="-7"/>
          <w:kern w:val="0"/>
          <w:sz w:val="28"/>
          <w:szCs w:val="22"/>
          <w14:ligatures w14:val="none"/>
        </w:rPr>
        <w:t>the defendant was a librarian engaged in the normal course of his/her employment, a motion picture projectionist, stage employee or spotlight operator, cashier, doorman, usher, candy stand attendant, porter or in any other non</w:t>
      </w:r>
      <w:r w:rsidRPr="007C4A4D">
        <w:rPr>
          <w:rFonts w:ascii="Arial" w:eastAsia="Arial" w:hAnsi="Arial"/>
          <w:spacing w:val="-7"/>
          <w:kern w:val="0"/>
          <w:sz w:val="28"/>
          <w:szCs w:val="22"/>
          <w14:ligatures w14:val="none"/>
        </w:rPr>
        <w:softHyphen/>
        <w:t>managerial or non-supervisory capacity in a motion picture theatre; provided he/she has no financial interest, other than his/her employment, which employment does not encompass compensation based upon any proportion of the gross receipts, in the promotion of a sexual performance for sale, rental or exhibition or in the promotion, presentation or direction of any sexual performance, or is in any way responsible for acquiring such material for sale, rental or exhibition.</w:t>
      </w:r>
      <w:r w:rsidRPr="007C4A4D">
        <w:rPr>
          <w:rFonts w:ascii="Arial" w:eastAsia="Arial" w:hAnsi="Arial"/>
          <w:b/>
          <w:spacing w:val="-7"/>
          <w:kern w:val="0"/>
          <w:sz w:val="28"/>
          <w:szCs w:val="22"/>
          <w:vertAlign w:val="superscript"/>
          <w14:ligatures w14:val="none"/>
        </w:rPr>
        <w:t>14</w:t>
      </w:r>
      <w:r w:rsidRPr="007C4A4D">
        <w:rPr>
          <w:rFonts w:ascii="Arial" w:eastAsia="Arial" w:hAnsi="Arial"/>
          <w:b/>
          <w:spacing w:val="-7"/>
          <w:kern w:val="0"/>
          <w:sz w:val="17"/>
          <w:szCs w:val="22"/>
          <w14:ligatures w14:val="none"/>
        </w:rPr>
        <w:t xml:space="preserve"> </w:t>
      </w:r>
    </w:p>
    <w:p w14:paraId="22420402" w14:textId="77777777" w:rsidR="00082055" w:rsidRPr="007C4A4D" w:rsidRDefault="00082055" w:rsidP="00082055">
      <w:pPr>
        <w:spacing w:before="338" w:after="1057" w:line="325" w:lineRule="exact"/>
        <w:ind w:firstLine="720"/>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Under our law, the defendant has the burden of proving an affirmative defense by a preponderance of the evidence.</w:t>
      </w:r>
    </w:p>
    <w:p w14:paraId="59A090F9" w14:textId="7CD9D104" w:rsidR="00082055" w:rsidRPr="007C4A4D" w:rsidRDefault="00215AA2" w:rsidP="00082055">
      <w:pPr>
        <w:spacing w:before="253" w:line="278" w:lineRule="exact"/>
        <w:ind w:left="720"/>
        <w:textAlignment w:val="baseline"/>
        <w:rPr>
          <w:rFonts w:ascii="Arial" w:eastAsia="Arial" w:hAnsi="Arial"/>
          <w:kern w:val="0"/>
          <w:sz w:val="14"/>
          <w:szCs w:val="22"/>
          <w:vertAlign w:val="superscript"/>
          <w14:ligatures w14:val="none"/>
        </w:rPr>
      </w:pPr>
      <w:r w:rsidRPr="007C4A4D">
        <w:rPr>
          <w:noProof/>
        </w:rPr>
        <mc:AlternateContent>
          <mc:Choice Requires="wps">
            <w:drawing>
              <wp:anchor distT="4294967295" distB="4294967295" distL="114300" distR="114300" simplePos="0" relativeHeight="251662336" behindDoc="0" locked="0" layoutInCell="1" allowOverlap="1" wp14:anchorId="5CF42604" wp14:editId="36AF443E">
                <wp:simplePos x="0" y="0"/>
                <wp:positionH relativeFrom="page">
                  <wp:posOffset>1359535</wp:posOffset>
                </wp:positionH>
                <wp:positionV relativeFrom="page">
                  <wp:posOffset>8190229</wp:posOffset>
                </wp:positionV>
                <wp:extent cx="1841500" cy="0"/>
                <wp:effectExtent l="0" t="0" r="0" b="0"/>
                <wp:wrapNone/>
                <wp:docPr id="132811927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1524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0B0321"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7.05pt,644.9pt" to="252.05pt,6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" strokeweight="1.2pt">
                <w10:wrap anchorx="page" anchory="page"/>
              </v:line>
            </w:pict>
          </mc:Fallback>
        </mc:AlternateContent>
      </w:r>
      <w:r w:rsidR="00082055" w:rsidRPr="007C4A4D">
        <w:rPr>
          <w:rFonts w:ascii="Arial" w:eastAsia="Arial" w:hAnsi="Arial"/>
          <w:kern w:val="0"/>
          <w:sz w:val="14"/>
          <w:szCs w:val="22"/>
          <w:vertAlign w:val="superscript"/>
          <w14:ligatures w14:val="none"/>
        </w:rPr>
        <w:t>13</w:t>
      </w:r>
      <w:r w:rsidR="00082055" w:rsidRPr="007C4A4D">
        <w:rPr>
          <w:rFonts w:ascii="Arial" w:eastAsia="Arial" w:hAnsi="Arial"/>
          <w:kern w:val="0"/>
          <w:szCs w:val="22"/>
          <w14:ligatures w14:val="none"/>
        </w:rPr>
        <w:t xml:space="preserve"> Penal Law § 263.20 (1).</w:t>
      </w:r>
    </w:p>
    <w:p w14:paraId="7FE68EE6" w14:textId="77777777" w:rsidR="00082055" w:rsidRPr="007C4A4D" w:rsidRDefault="00082055" w:rsidP="00082055">
      <w:pPr>
        <w:spacing w:before="241" w:line="277" w:lineRule="exact"/>
        <w:ind w:left="720"/>
        <w:textAlignment w:val="baseline"/>
        <w:rPr>
          <w:rFonts w:ascii="Arial" w:eastAsia="Arial" w:hAnsi="Arial"/>
          <w:kern w:val="0"/>
          <w:sz w:val="14"/>
          <w:szCs w:val="22"/>
          <w:vertAlign w:val="superscript"/>
          <w14:ligatures w14:val="none"/>
        </w:rPr>
      </w:pPr>
      <w:r w:rsidRPr="007C4A4D">
        <w:rPr>
          <w:rFonts w:ascii="Arial" w:eastAsia="Arial" w:hAnsi="Arial"/>
          <w:kern w:val="0"/>
          <w:sz w:val="14"/>
          <w:szCs w:val="22"/>
          <w:vertAlign w:val="superscript"/>
          <w14:ligatures w14:val="none"/>
        </w:rPr>
        <w:t xml:space="preserve">14 </w:t>
      </w:r>
      <w:r w:rsidRPr="007C4A4D">
        <w:rPr>
          <w:rFonts w:ascii="Arial" w:eastAsia="Arial" w:hAnsi="Arial"/>
          <w:kern w:val="0"/>
          <w:szCs w:val="22"/>
          <w14:ligatures w14:val="none"/>
        </w:rPr>
        <w:t>Penal Law § 263.20 (2).</w:t>
      </w:r>
    </w:p>
    <w:p w14:paraId="4B0503B7" w14:textId="77777777" w:rsidR="00082055" w:rsidRPr="007C4A4D" w:rsidRDefault="00082055" w:rsidP="00082055">
      <w:pPr>
        <w:spacing w:before="0"/>
        <w:rPr>
          <w:rFonts w:eastAsia="PMingLiU"/>
          <w:kern w:val="0"/>
          <w:sz w:val="22"/>
          <w:szCs w:val="22"/>
          <w14:ligatures w14:val="none"/>
        </w:rPr>
        <w:sectPr w:rsidR="00082055" w:rsidRPr="007C4A4D" w:rsidSect="000E5FC3">
          <w:footerReference w:type="default" r:id="rId8"/>
          <w:pgSz w:w="12240" w:h="15840"/>
          <w:pgMar w:top="1440" w:right="2121" w:bottom="1268" w:left="2141" w:header="720" w:footer="1473" w:gutter="0"/>
          <w:cols w:space="720"/>
        </w:sectPr>
      </w:pPr>
    </w:p>
    <w:p w14:paraId="1A6C6E8E" w14:textId="77777777" w:rsidR="00082055" w:rsidRPr="007C4A4D" w:rsidRDefault="00082055" w:rsidP="00082055">
      <w:pPr>
        <w:spacing w:before="4" w:line="325" w:lineRule="exact"/>
        <w:ind w:firstLine="720"/>
        <w:jc w:val="both"/>
        <w:textAlignment w:val="baseline"/>
        <w:rPr>
          <w:rFonts w:ascii="Arial" w:eastAsia="Arial" w:hAnsi="Arial"/>
          <w:spacing w:val="-4"/>
          <w:kern w:val="0"/>
          <w:sz w:val="28"/>
          <w:szCs w:val="22"/>
          <w14:ligatures w14:val="none"/>
        </w:rPr>
      </w:pPr>
      <w:r w:rsidRPr="007C4A4D">
        <w:rPr>
          <w:rFonts w:ascii="Arial" w:eastAsia="Arial" w:hAnsi="Arial"/>
          <w:spacing w:val="-4"/>
          <w:kern w:val="0"/>
          <w:sz w:val="28"/>
          <w:szCs w:val="22"/>
          <w14:ligatures w14:val="none"/>
        </w:rPr>
        <w:lastRenderedPageBreak/>
        <w:t>In determining whether the defendant has proven the affirmative defense by a preponderance of the evidence, you may consider evidence introduced by the People or by the defendant.</w:t>
      </w:r>
    </w:p>
    <w:p w14:paraId="4CDA06B7" w14:textId="77777777" w:rsidR="00082055" w:rsidRPr="007C4A4D" w:rsidRDefault="00082055" w:rsidP="00082055">
      <w:pPr>
        <w:spacing w:before="318" w:line="325" w:lineRule="exact"/>
        <w:ind w:firstLine="720"/>
        <w:jc w:val="both"/>
        <w:textAlignment w:val="baseline"/>
        <w:rPr>
          <w:rFonts w:ascii="Arial" w:eastAsia="Arial" w:hAnsi="Arial"/>
          <w:spacing w:val="-3"/>
          <w:kern w:val="0"/>
          <w:sz w:val="28"/>
          <w:szCs w:val="22"/>
          <w14:ligatures w14:val="none"/>
        </w:rPr>
      </w:pPr>
      <w:r w:rsidRPr="007C4A4D">
        <w:rPr>
          <w:rFonts w:ascii="Arial" w:eastAsia="Arial" w:hAnsi="Arial"/>
          <w:spacing w:val="-3"/>
          <w:kern w:val="0"/>
          <w:sz w:val="28"/>
          <w:szCs w:val="22"/>
          <w14:ligatures w14:val="none"/>
        </w:rPr>
        <w:t>A preponderance of the evidence means the greater part of the believable and reliable evidence, not in terms of the number of witnesses or the length of time taken to present the evidence, but in terms of its quality and the weight and convincing effect it</w:t>
      </w:r>
    </w:p>
    <w:p w14:paraId="63407F1B" w14:textId="77777777" w:rsidR="00082055" w:rsidRPr="007C4A4D" w:rsidRDefault="00082055" w:rsidP="00082055">
      <w:pPr>
        <w:tabs>
          <w:tab w:val="right" w:pos="7920"/>
        </w:tabs>
        <w:spacing w:before="0" w:line="324" w:lineRule="exact"/>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 xml:space="preserve">has. For the affirmative defense to be proved by a </w:t>
      </w:r>
      <w:r w:rsidRPr="007C4A4D">
        <w:rPr>
          <w:rFonts w:ascii="Arial" w:eastAsia="Arial" w:hAnsi="Arial"/>
          <w:kern w:val="0"/>
          <w:sz w:val="28"/>
          <w:szCs w:val="22"/>
          <w14:ligatures w14:val="none"/>
        </w:rPr>
        <w:br/>
        <w:t>preponderance of the evidence, the evidence that supports the affirmative defense must be of such convincing quality as to outweigh any evidence to the contrary.</w:t>
      </w:r>
    </w:p>
    <w:p w14:paraId="3C592CD7" w14:textId="77777777" w:rsidR="00082055" w:rsidRPr="007C4A4D" w:rsidRDefault="00082055" w:rsidP="00082055">
      <w:pPr>
        <w:spacing w:before="315" w:line="325" w:lineRule="exact"/>
        <w:ind w:firstLine="720"/>
        <w:jc w:val="both"/>
        <w:textAlignment w:val="baseline"/>
        <w:rPr>
          <w:rFonts w:ascii="Arial" w:eastAsia="Arial" w:hAnsi="Arial"/>
          <w:spacing w:val="-3"/>
          <w:kern w:val="0"/>
          <w:sz w:val="28"/>
          <w:szCs w:val="22"/>
          <w14:ligatures w14:val="none"/>
        </w:rPr>
      </w:pPr>
      <w:r w:rsidRPr="007C4A4D">
        <w:rPr>
          <w:rFonts w:ascii="Arial" w:eastAsia="Arial" w:hAnsi="Arial"/>
          <w:spacing w:val="-3"/>
          <w:kern w:val="0"/>
          <w:sz w:val="28"/>
          <w:szCs w:val="22"/>
          <w14:ligatures w14:val="none"/>
        </w:rPr>
        <w:t>If you find that the defendant has not proven the affirmative defense by a preponderance of the evidence, then, based upon your initial determination that the People had proven beyond a reasonable doubt both of the elements of Promoting a Sexual Performance by a Child, you must find the defendant guilty of that crime.</w:t>
      </w:r>
    </w:p>
    <w:p w14:paraId="4419FB83" w14:textId="77777777" w:rsidR="00082055" w:rsidRPr="007C4A4D" w:rsidRDefault="00082055" w:rsidP="00082055">
      <w:pPr>
        <w:spacing w:before="323" w:line="325" w:lineRule="exact"/>
        <w:ind w:firstLine="864"/>
        <w:jc w:val="both"/>
        <w:textAlignment w:val="baseline"/>
        <w:rPr>
          <w:rFonts w:ascii="Arial" w:eastAsia="Arial" w:hAnsi="Arial"/>
          <w:kern w:val="0"/>
          <w:sz w:val="28"/>
          <w:szCs w:val="22"/>
          <w14:ligatures w14:val="none"/>
        </w:rPr>
      </w:pPr>
      <w:r w:rsidRPr="007C4A4D">
        <w:rPr>
          <w:rFonts w:ascii="Arial" w:eastAsia="Arial" w:hAnsi="Arial"/>
          <w:kern w:val="0"/>
          <w:sz w:val="28"/>
          <w:szCs w:val="22"/>
          <w14:ligatures w14:val="none"/>
        </w:rPr>
        <w:t>If you find that the defendant has proven the affirmative defense by a preponderance of the evidence, then you must find the defendant not guilty of Promoting a Sexual Performance by a Child.]</w:t>
      </w:r>
    </w:p>
    <w:p w14:paraId="1EBD543E" w14:textId="77777777" w:rsidR="00AD48FC" w:rsidRPr="007C4A4D" w:rsidRDefault="00AD48FC"/>
    <w:sectPr w:rsidR="00AD48FC" w:rsidRPr="007C4A4D">
      <w:pgSz w:w="12240" w:h="15840"/>
      <w:pgMar w:top="1440" w:right="2121" w:bottom="1268" w:left="2141" w:header="720"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29C3F" w14:textId="77777777" w:rsidR="000E5FC3" w:rsidRDefault="000E5FC3" w:rsidP="00082055">
      <w:pPr>
        <w:spacing w:before="0"/>
      </w:pPr>
      <w:r>
        <w:separator/>
      </w:r>
    </w:p>
  </w:endnote>
  <w:endnote w:type="continuationSeparator" w:id="0">
    <w:p w14:paraId="122D5AD4" w14:textId="77777777" w:rsidR="000E5FC3" w:rsidRDefault="000E5FC3" w:rsidP="000820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A2953" w14:textId="77777777" w:rsidR="00082055" w:rsidRDefault="00082055">
    <w:pPr>
      <w:tabs>
        <w:tab w:val="left" w:pos="3842"/>
      </w:tabs>
      <w:spacing w:line="229" w:lineRule="exact"/>
      <w:textAlignment w:val="baseline"/>
      <w:rPr>
        <w:rFonts w:eastAsia="Times New Roman"/>
        <w:color w:val="000000"/>
      </w:rPr>
    </w:pPr>
    <w:r>
      <w:rPr>
        <w:rFonts w:eastAsia="Times New Roman"/>
        <w:color w:val="000000"/>
      </w:rPr>
      <w:tab/>
    </w:r>
    <w:r>
      <w:rPr>
        <w:rFonts w:ascii="Arial" w:eastAsia="Arial" w:hAnsi="Arial"/>
        <w:color w:val="000000"/>
        <w:sz w:val="20"/>
      </w:rPr>
      <w:fldChar w:fldCharType="begin"/>
    </w:r>
    <w:r>
      <w:rPr>
        <w:rFonts w:ascii="Arial" w:eastAsia="Arial" w:hAnsi="Arial"/>
        <w:color w:val="000000"/>
        <w:sz w:val="20"/>
      </w:rPr>
      <w:instrText>PAGE</w:instrText>
    </w:r>
    <w:r>
      <w:rPr>
        <w:rFonts w:ascii="Arial" w:eastAsia="Arial" w:hAnsi="Arial"/>
        <w:color w:val="000000"/>
        <w:sz w:val="20"/>
      </w:rPr>
      <w:fldChar w:fldCharType="separate"/>
    </w:r>
    <w:r>
      <w:rPr>
        <w:rFonts w:ascii="Arial" w:eastAsia="Arial" w:hAnsi="Arial"/>
        <w:noProof/>
        <w:color w:val="000000"/>
        <w:sz w:val="20"/>
      </w:rPr>
      <w:t>2</w:t>
    </w:r>
    <w:r>
      <w:rPr>
        <w:rFonts w:ascii="Arial" w:eastAsia="Arial" w:hAnsi="Arial"/>
        <w:color w:val="000000"/>
        <w:sz w:val="20"/>
      </w:rPr>
      <w:fldChar w:fldCharType="end"/>
    </w:r>
    <w:r>
      <w:rPr>
        <w:rFonts w:ascii="Arial" w:eastAsia="Arial" w:hAnsi="Arial"/>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8CCC4" w14:textId="77777777" w:rsidR="00082055" w:rsidRDefault="00082055">
    <w:pPr>
      <w:tabs>
        <w:tab w:val="left" w:pos="3854"/>
      </w:tabs>
      <w:spacing w:line="229" w:lineRule="exact"/>
      <w:textAlignment w:val="baseline"/>
      <w:rPr>
        <w:rFonts w:eastAsia="Times New Roman"/>
        <w:color w:val="000000"/>
      </w:rPr>
    </w:pPr>
    <w:r>
      <w:rPr>
        <w:rFonts w:eastAsia="Times New Roman"/>
        <w:color w:val="000000"/>
      </w:rPr>
      <w:tab/>
    </w:r>
    <w:r>
      <w:rPr>
        <w:rFonts w:ascii="Arial" w:eastAsia="Arial" w:hAnsi="Arial"/>
        <w:color w:val="000000"/>
        <w:sz w:val="20"/>
      </w:rPr>
      <w:fldChar w:fldCharType="begin"/>
    </w:r>
    <w:r>
      <w:rPr>
        <w:rFonts w:ascii="Arial" w:eastAsia="Arial" w:hAnsi="Arial"/>
        <w:color w:val="000000"/>
        <w:sz w:val="20"/>
      </w:rPr>
      <w:instrText>PAGE</w:instrText>
    </w:r>
    <w:r>
      <w:rPr>
        <w:rFonts w:ascii="Arial" w:eastAsia="Arial" w:hAnsi="Arial"/>
        <w:color w:val="000000"/>
        <w:sz w:val="20"/>
      </w:rPr>
      <w:fldChar w:fldCharType="separate"/>
    </w:r>
    <w:r>
      <w:rPr>
        <w:rFonts w:ascii="Arial" w:eastAsia="Arial" w:hAnsi="Arial"/>
        <w:noProof/>
        <w:color w:val="000000"/>
        <w:sz w:val="20"/>
      </w:rPr>
      <w:t>5</w:t>
    </w:r>
    <w:r>
      <w:rPr>
        <w:rFonts w:ascii="Arial" w:eastAsia="Arial" w:hAnsi="Arial"/>
        <w:color w:val="000000"/>
        <w:sz w:val="20"/>
      </w:rPr>
      <w:fldChar w:fldCharType="end"/>
    </w:r>
    <w:r>
      <w:rPr>
        <w:rFonts w:ascii="Arial" w:eastAsia="Arial" w:hAnsi="Arial"/>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D040E" w14:textId="77777777" w:rsidR="000E5FC3" w:rsidRDefault="000E5FC3" w:rsidP="00082055">
      <w:pPr>
        <w:spacing w:before="0"/>
      </w:pPr>
      <w:r>
        <w:separator/>
      </w:r>
    </w:p>
  </w:footnote>
  <w:footnote w:type="continuationSeparator" w:id="0">
    <w:p w14:paraId="7AFC63F9" w14:textId="77777777" w:rsidR="000E5FC3" w:rsidRDefault="000E5FC3" w:rsidP="00082055">
      <w:pPr>
        <w:spacing w:before="0"/>
      </w:pPr>
      <w:r>
        <w:continuationSeparator/>
      </w:r>
    </w:p>
  </w:footnote>
  <w:footnote w:id="1">
    <w:p w14:paraId="62CE56E3" w14:textId="77777777" w:rsidR="00082055" w:rsidRDefault="00082055" w:rsidP="00082055">
      <w:pPr>
        <w:pStyle w:val="FootnoteText"/>
        <w:rPr>
          <w:rFonts w:ascii="Arial" w:hAnsi="Arial" w:cs="Arial"/>
          <w:sz w:val="22"/>
          <w:szCs w:val="22"/>
        </w:rPr>
      </w:pPr>
    </w:p>
    <w:p w14:paraId="20E83196" w14:textId="77777777" w:rsidR="00082055" w:rsidRDefault="00082055" w:rsidP="00082055">
      <w:pPr>
        <w:pStyle w:val="FootnoteText"/>
        <w:rPr>
          <w:rFonts w:ascii="Arial" w:eastAsia="Arial" w:hAnsi="Arial" w:cs="Arial"/>
          <w:color w:val="000000"/>
          <w:sz w:val="22"/>
          <w:szCs w:val="22"/>
        </w:rPr>
      </w:pPr>
      <w:r w:rsidRPr="00083747">
        <w:rPr>
          <w:rStyle w:val="FootnoteReference"/>
          <w:rFonts w:ascii="Arial" w:hAnsi="Arial" w:cs="Arial"/>
          <w:sz w:val="22"/>
          <w:szCs w:val="22"/>
        </w:rPr>
        <w:footnoteRef/>
      </w:r>
      <w:r w:rsidRPr="00083747">
        <w:rPr>
          <w:rFonts w:ascii="Arial" w:hAnsi="Arial" w:cs="Arial"/>
          <w:sz w:val="22"/>
          <w:szCs w:val="22"/>
        </w:rPr>
        <w:t xml:space="preserve"> Penal Law §  263.00(5).  </w:t>
      </w:r>
      <w:r w:rsidRPr="00083747">
        <w:rPr>
          <w:rFonts w:ascii="Arial" w:eastAsia="Arial" w:hAnsi="Arial" w:cs="Arial"/>
          <w:i/>
          <w:color w:val="000000"/>
          <w:sz w:val="22"/>
          <w:szCs w:val="22"/>
        </w:rPr>
        <w:t>See also People v Keyes</w:t>
      </w:r>
      <w:r w:rsidRPr="00083747">
        <w:rPr>
          <w:rFonts w:ascii="Arial" w:eastAsia="Arial" w:hAnsi="Arial" w:cs="Arial"/>
          <w:color w:val="000000"/>
          <w:sz w:val="22"/>
          <w:szCs w:val="22"/>
        </w:rPr>
        <w:t>, 75 NY2d 343, 348 (1990) (“procure” includes the "acquisition of child pornography, whether for personal consumption or for distribution to others.")</w:t>
      </w:r>
    </w:p>
    <w:p w14:paraId="06C30948" w14:textId="77777777" w:rsidR="00082055" w:rsidRPr="00083747" w:rsidRDefault="00082055" w:rsidP="00082055">
      <w:pPr>
        <w:pStyle w:val="FootnoteText"/>
        <w:rPr>
          <w:rFonts w:ascii="Arial" w:hAnsi="Arial" w:cs="Arial"/>
          <w:sz w:val="22"/>
          <w:szCs w:val="22"/>
        </w:rPr>
      </w:pPr>
    </w:p>
  </w:footnote>
  <w:footnote w:id="2">
    <w:p w14:paraId="0347D512" w14:textId="77777777" w:rsidR="00082055" w:rsidRDefault="00082055" w:rsidP="00082055">
      <w:pPr>
        <w:pStyle w:val="FootnoteText"/>
      </w:pPr>
      <w:r>
        <w:rPr>
          <w:rStyle w:val="FootnoteReference"/>
        </w:rPr>
        <w:footnoteRef/>
      </w:r>
      <w:r>
        <w:t xml:space="preserve"> </w:t>
      </w:r>
      <w:r>
        <w:rPr>
          <w:rFonts w:ascii="Arial" w:eastAsia="Arial" w:hAnsi="Arial"/>
          <w:i/>
          <w:color w:val="000000"/>
        </w:rPr>
        <w:t xml:space="preserve">See People v Kent, </w:t>
      </w:r>
      <w:r>
        <w:rPr>
          <w:rFonts w:ascii="Arial" w:eastAsia="Arial" w:hAnsi="Arial"/>
          <w:color w:val="000000"/>
        </w:rPr>
        <w:t>19 NY3d 290 (2012).</w:t>
      </w:r>
    </w:p>
  </w:footnote>
  <w:footnote w:id="3">
    <w:p w14:paraId="75C5B2B5" w14:textId="77777777" w:rsidR="00082055" w:rsidRDefault="00082055" w:rsidP="00082055">
      <w:pPr>
        <w:spacing w:before="243" w:line="273" w:lineRule="exact"/>
        <w:textAlignment w:val="baseline"/>
        <w:rPr>
          <w:rFonts w:ascii="Arial" w:eastAsia="Arial" w:hAnsi="Arial"/>
          <w:color w:val="000000"/>
          <w:sz w:val="14"/>
          <w:vertAlign w:val="superscript"/>
        </w:rPr>
      </w:pPr>
      <w:r>
        <w:rPr>
          <w:rStyle w:val="FootnoteReference"/>
        </w:rPr>
        <w:footnoteRef/>
      </w:r>
      <w:r>
        <w:t xml:space="preserve"> </w:t>
      </w:r>
      <w:r>
        <w:rPr>
          <w:rFonts w:ascii="Arial" w:eastAsia="Arial" w:hAnsi="Arial"/>
          <w:i/>
          <w:color w:val="000000"/>
        </w:rPr>
        <w:t xml:space="preserve">See </w:t>
      </w:r>
      <w:r>
        <w:rPr>
          <w:rFonts w:ascii="Arial" w:eastAsia="Arial" w:hAnsi="Arial"/>
          <w:color w:val="000000"/>
        </w:rPr>
        <w:t>Penal Law § 263.00 (9).</w:t>
      </w:r>
    </w:p>
    <w:p w14:paraId="3C65B92D" w14:textId="77777777" w:rsidR="00082055" w:rsidRDefault="00082055" w:rsidP="00082055">
      <w:pPr>
        <w:pStyle w:val="FootnoteText"/>
      </w:pPr>
    </w:p>
  </w:footnote>
  <w:footnote w:id="4">
    <w:p w14:paraId="257DC1A6" w14:textId="0C086A6F" w:rsidR="00082055" w:rsidRDefault="00082055" w:rsidP="00082055">
      <w:pPr>
        <w:pStyle w:val="FootnoteText"/>
        <w:rPr>
          <w:rFonts w:ascii="Arial" w:eastAsia="Arial" w:hAnsi="Arial"/>
          <w:color w:val="000000"/>
        </w:rPr>
      </w:pPr>
      <w:r>
        <w:rPr>
          <w:rStyle w:val="FootnoteReference"/>
        </w:rPr>
        <w:footnoteRef/>
      </w:r>
      <w:r>
        <w:t xml:space="preserve"> </w:t>
      </w:r>
      <w:r>
        <w:rPr>
          <w:rFonts w:ascii="Arial" w:eastAsia="Arial" w:hAnsi="Arial"/>
          <w:color w:val="000000"/>
        </w:rPr>
        <w:t xml:space="preserve">Penal Law § 263.00 (4); </w:t>
      </w:r>
      <w:r>
        <w:rPr>
          <w:rFonts w:ascii="Arial" w:eastAsia="Arial" w:hAnsi="Arial"/>
          <w:i/>
          <w:color w:val="000000"/>
        </w:rPr>
        <w:t>See People v Fraser</w:t>
      </w:r>
      <w:r>
        <w:rPr>
          <w:rFonts w:ascii="Arial" w:eastAsia="Arial" w:hAnsi="Arial"/>
          <w:color w:val="000000"/>
        </w:rPr>
        <w:t>, 96 NY2d 318, 328 (2001) (a photograph includes a digital computer image).</w:t>
      </w:r>
    </w:p>
    <w:p w14:paraId="647AD006" w14:textId="77777777" w:rsidR="00082055" w:rsidRDefault="00082055" w:rsidP="00082055">
      <w:pPr>
        <w:pStyle w:val="FootnoteText"/>
      </w:pPr>
    </w:p>
  </w:footnote>
  <w:footnote w:id="5">
    <w:p w14:paraId="568B6466" w14:textId="77777777" w:rsidR="00082055" w:rsidRDefault="00082055" w:rsidP="00082055">
      <w:pPr>
        <w:jc w:val="both"/>
        <w:rPr>
          <w:rFonts w:ascii="Arial" w:eastAsia="Yu Gothic UI" w:hAnsi="Arial" w:cs="Arial"/>
          <w:sz w:val="22"/>
          <w:szCs w:val="22"/>
        </w:rPr>
      </w:pPr>
      <w:r w:rsidRPr="00282FC2">
        <w:rPr>
          <w:rStyle w:val="FootnoteReference"/>
          <w:rFonts w:ascii="Arial" w:eastAsia="Yu Gothic UI" w:hAnsi="Arial" w:cs="Arial"/>
          <w:sz w:val="28"/>
          <w:szCs w:val="28"/>
        </w:rPr>
        <w:footnoteRef/>
      </w:r>
      <w:r w:rsidRPr="00282FC2">
        <w:rPr>
          <w:rFonts w:ascii="Arial" w:eastAsia="Yu Gothic UI" w:hAnsi="Arial" w:cs="Arial"/>
          <w:sz w:val="28"/>
          <w:szCs w:val="28"/>
        </w:rPr>
        <w:t xml:space="preserve"> </w:t>
      </w:r>
      <w:r w:rsidRPr="0052072B">
        <w:rPr>
          <w:rFonts w:ascii="Arial" w:eastAsia="Yu Gothic UI" w:hAnsi="Arial" w:cs="Arial"/>
          <w:sz w:val="22"/>
          <w:szCs w:val="22"/>
        </w:rPr>
        <w:t xml:space="preserve">Penal Law </w:t>
      </w:r>
      <w:r w:rsidRPr="0052072B">
        <w:rPr>
          <w:rFonts w:ascii="Arial" w:eastAsia="Yu Gothic UI" w:hAnsi="Arial" w:cs="Arial"/>
          <w:sz w:val="22"/>
          <w:szCs w:val="22"/>
        </w:rPr>
        <w:sym w:font="WP TypographicSymbols" w:char="0027"/>
      </w:r>
      <w:r w:rsidRPr="0052072B">
        <w:rPr>
          <w:rFonts w:ascii="Arial" w:eastAsia="Yu Gothic UI" w:hAnsi="Arial" w:cs="Arial"/>
          <w:sz w:val="22"/>
          <w:szCs w:val="22"/>
        </w:rPr>
        <w:t xml:space="preserve"> 263.00(3).</w:t>
      </w:r>
    </w:p>
    <w:p w14:paraId="3C977E50" w14:textId="77777777" w:rsidR="00082055" w:rsidRPr="0052072B" w:rsidRDefault="00082055" w:rsidP="00082055">
      <w:pPr>
        <w:jc w:val="both"/>
        <w:rPr>
          <w:rFonts w:ascii="Arial" w:hAnsi="Arial" w:cs="Arial"/>
          <w:sz w:val="22"/>
          <w:szCs w:val="22"/>
        </w:rPr>
      </w:pPr>
    </w:p>
  </w:footnote>
  <w:footnote w:id="6">
    <w:p w14:paraId="1AD59410" w14:textId="77777777" w:rsidR="00082055" w:rsidRDefault="00082055" w:rsidP="00082055">
      <w:pPr>
        <w:pStyle w:val="FootnoteText"/>
        <w:rPr>
          <w:rFonts w:ascii="Arial" w:eastAsia="Arial" w:hAnsi="Arial"/>
          <w:color w:val="000000"/>
          <w:spacing w:val="-1"/>
        </w:rPr>
      </w:pPr>
      <w:r>
        <w:rPr>
          <w:rStyle w:val="FootnoteReference"/>
        </w:rPr>
        <w:footnoteRef/>
      </w:r>
      <w:r>
        <w:t xml:space="preserve"> </w:t>
      </w:r>
      <w:r>
        <w:rPr>
          <w:rFonts w:ascii="Arial" w:eastAsia="Arial" w:hAnsi="Arial"/>
          <w:color w:val="000000"/>
          <w:spacing w:val="-1"/>
        </w:rPr>
        <w:t>Penal Law § 263.00 (6).</w:t>
      </w:r>
    </w:p>
    <w:p w14:paraId="0E9DEADB" w14:textId="77777777" w:rsidR="00082055" w:rsidRDefault="00082055" w:rsidP="00082055">
      <w:pPr>
        <w:pStyle w:val="FootnoteText"/>
      </w:pPr>
    </w:p>
  </w:footnote>
  <w:footnote w:id="7">
    <w:p w14:paraId="5B477A25" w14:textId="77777777" w:rsidR="00082055" w:rsidRDefault="00082055" w:rsidP="00082055">
      <w:pPr>
        <w:pStyle w:val="FootnoteText"/>
        <w:rPr>
          <w:rFonts w:ascii="Arial" w:hAnsi="Arial" w:cs="Arial"/>
          <w:sz w:val="22"/>
          <w:szCs w:val="22"/>
        </w:rPr>
      </w:pPr>
      <w:r w:rsidRPr="00282FC2">
        <w:rPr>
          <w:rStyle w:val="FootnoteReference"/>
          <w:rFonts w:ascii="Arial" w:hAnsi="Arial" w:cs="Arial"/>
          <w:sz w:val="22"/>
          <w:szCs w:val="22"/>
        </w:rPr>
        <w:footnoteRef/>
      </w:r>
      <w:r w:rsidRPr="00282FC2">
        <w:rPr>
          <w:rFonts w:ascii="Arial" w:hAnsi="Arial" w:cs="Arial"/>
          <w:sz w:val="22"/>
          <w:szCs w:val="22"/>
        </w:rPr>
        <w:t xml:space="preserve"> See Penal Law § 130.00(1) </w:t>
      </w:r>
      <w:r w:rsidRPr="00082055">
        <w:rPr>
          <w:rFonts w:ascii="Arial" w:hAnsi="Arial" w:cs="Arial"/>
          <w:sz w:val="22"/>
          <w:szCs w:val="22"/>
        </w:rPr>
        <w:t>defining the term for Penal Law art 130.</w:t>
      </w:r>
    </w:p>
    <w:p w14:paraId="6025CC2F" w14:textId="77777777" w:rsidR="00082055" w:rsidRPr="00282FC2" w:rsidRDefault="00082055" w:rsidP="00082055">
      <w:pPr>
        <w:pStyle w:val="FootnoteText"/>
        <w:rPr>
          <w:rFonts w:ascii="Arial" w:hAnsi="Arial" w:cs="Arial"/>
          <w:sz w:val="22"/>
          <w:szCs w:val="22"/>
        </w:rPr>
      </w:pPr>
    </w:p>
  </w:footnote>
  <w:footnote w:id="8">
    <w:p w14:paraId="251712C0" w14:textId="77777777" w:rsidR="00082055" w:rsidRDefault="00082055" w:rsidP="00082055">
      <w:pPr>
        <w:pStyle w:val="FootnoteText"/>
        <w:rPr>
          <w:rFonts w:ascii="Arial" w:hAnsi="Arial" w:cs="Arial"/>
          <w:sz w:val="22"/>
          <w:szCs w:val="22"/>
        </w:rPr>
      </w:pPr>
      <w:r w:rsidRPr="00282FC2">
        <w:rPr>
          <w:rStyle w:val="FootnoteReference"/>
          <w:rFonts w:ascii="Arial" w:hAnsi="Arial" w:cs="Arial"/>
          <w:sz w:val="22"/>
          <w:szCs w:val="22"/>
        </w:rPr>
        <w:footnoteRef/>
      </w:r>
      <w:r w:rsidRPr="00282FC2">
        <w:rPr>
          <w:rFonts w:ascii="Arial" w:hAnsi="Arial" w:cs="Arial"/>
          <w:sz w:val="22"/>
          <w:szCs w:val="22"/>
        </w:rPr>
        <w:t xml:space="preserve"> </w:t>
      </w:r>
      <w:bookmarkStart w:id="1" w:name="_Hlk140846038"/>
      <w:r w:rsidRPr="00282FC2">
        <w:rPr>
          <w:rFonts w:ascii="Arial" w:hAnsi="Arial" w:cs="Arial"/>
          <w:sz w:val="22"/>
          <w:szCs w:val="22"/>
        </w:rPr>
        <w:t>See Penal Law § 130.00(2)(a).</w:t>
      </w:r>
      <w:bookmarkEnd w:id="1"/>
    </w:p>
    <w:p w14:paraId="013703E7" w14:textId="77777777" w:rsidR="00082055" w:rsidRPr="00282FC2" w:rsidRDefault="00082055" w:rsidP="00082055">
      <w:pPr>
        <w:pStyle w:val="FootnoteText"/>
        <w:rPr>
          <w:rFonts w:ascii="Arial" w:hAnsi="Arial" w:cs="Arial"/>
          <w:sz w:val="22"/>
          <w:szCs w:val="22"/>
        </w:rPr>
      </w:pPr>
    </w:p>
  </w:footnote>
  <w:footnote w:id="9">
    <w:p w14:paraId="369D7894" w14:textId="77777777" w:rsidR="00082055" w:rsidRPr="00082055" w:rsidRDefault="00082055" w:rsidP="00082055">
      <w:pPr>
        <w:pStyle w:val="FootnoteText"/>
        <w:rPr>
          <w:rFonts w:ascii="Arial" w:hAnsi="Arial" w:cs="Arial"/>
          <w:sz w:val="22"/>
          <w:szCs w:val="22"/>
        </w:rPr>
      </w:pPr>
      <w:r w:rsidRPr="00082055">
        <w:rPr>
          <w:rStyle w:val="FootnoteReference"/>
          <w:rFonts w:ascii="Arial" w:hAnsi="Arial" w:cs="Arial"/>
          <w:sz w:val="22"/>
          <w:szCs w:val="22"/>
        </w:rPr>
        <w:footnoteRef/>
      </w:r>
      <w:r w:rsidRPr="00082055">
        <w:rPr>
          <w:rFonts w:ascii="Arial" w:hAnsi="Arial" w:cs="Arial"/>
          <w:sz w:val="22"/>
          <w:szCs w:val="22"/>
        </w:rPr>
        <w:t xml:space="preserve"> See Penal Law § 130.00(2)(b).</w:t>
      </w:r>
    </w:p>
    <w:p w14:paraId="5227A06E" w14:textId="77777777" w:rsidR="00082055" w:rsidRPr="00082055" w:rsidRDefault="00082055" w:rsidP="00082055">
      <w:pPr>
        <w:pStyle w:val="FootnoteText"/>
        <w:rPr>
          <w:rFonts w:ascii="Arial" w:hAnsi="Arial" w:cs="Arial"/>
          <w:sz w:val="22"/>
          <w:szCs w:val="22"/>
        </w:rPr>
      </w:pPr>
    </w:p>
  </w:footnote>
  <w:footnote w:id="10">
    <w:p w14:paraId="55427905" w14:textId="77777777" w:rsidR="00082055" w:rsidRPr="00082055" w:rsidRDefault="00082055" w:rsidP="00082055">
      <w:pPr>
        <w:pStyle w:val="FootnoteText"/>
        <w:rPr>
          <w:rFonts w:ascii="Arial" w:eastAsia="Yu Gothic UI" w:hAnsi="Arial" w:cs="Arial"/>
          <w:sz w:val="22"/>
          <w:szCs w:val="22"/>
        </w:rPr>
      </w:pPr>
      <w:r w:rsidRPr="00082055">
        <w:rPr>
          <w:rStyle w:val="FootnoteReference"/>
          <w:rFonts w:ascii="Arial" w:hAnsi="Arial" w:cs="Arial"/>
          <w:sz w:val="22"/>
          <w:szCs w:val="22"/>
        </w:rPr>
        <w:footnoteRef/>
      </w:r>
      <w:r w:rsidRPr="00082055">
        <w:rPr>
          <w:rFonts w:ascii="Arial" w:hAnsi="Arial" w:cs="Arial"/>
          <w:sz w:val="22"/>
          <w:szCs w:val="22"/>
        </w:rPr>
        <w:t xml:space="preserve"> </w:t>
      </w:r>
      <w:r w:rsidRPr="00082055">
        <w:rPr>
          <w:rFonts w:ascii="Arial" w:eastAsia="Yu Gothic UI" w:hAnsi="Arial" w:cs="Arial"/>
          <w:sz w:val="22"/>
          <w:szCs w:val="22"/>
        </w:rPr>
        <w:t xml:space="preserve">See Penal Law </w:t>
      </w:r>
      <w:r w:rsidRPr="00082055">
        <w:rPr>
          <w:rFonts w:ascii="Arial" w:eastAsia="Yu Gothic UI" w:hAnsi="Arial" w:cs="Arial"/>
          <w:sz w:val="22"/>
          <w:szCs w:val="22"/>
        </w:rPr>
        <w:sym w:font="WP TypographicSymbols" w:char="0027"/>
      </w:r>
      <w:r w:rsidRPr="00082055">
        <w:rPr>
          <w:rFonts w:ascii="Arial" w:eastAsia="Yu Gothic UI" w:hAnsi="Arial" w:cs="Arial"/>
          <w:sz w:val="22"/>
          <w:szCs w:val="22"/>
        </w:rPr>
        <w:t xml:space="preserve"> 263.00(8).</w:t>
      </w:r>
    </w:p>
    <w:p w14:paraId="7229A595" w14:textId="77777777" w:rsidR="00082055" w:rsidRPr="00082055" w:rsidRDefault="00082055" w:rsidP="00082055">
      <w:pPr>
        <w:pStyle w:val="FootnoteText"/>
        <w:rPr>
          <w:rFonts w:ascii="Arial" w:hAnsi="Arial" w:cs="Arial"/>
          <w:sz w:val="22"/>
          <w:szCs w:val="22"/>
        </w:rPr>
      </w:pPr>
    </w:p>
  </w:footnote>
  <w:footnote w:id="11">
    <w:p w14:paraId="42C22D21" w14:textId="77777777" w:rsidR="00082055" w:rsidRDefault="00082055" w:rsidP="00082055">
      <w:pPr>
        <w:pStyle w:val="FootnoteText"/>
        <w:jc w:val="both"/>
      </w:pPr>
      <w:r w:rsidRPr="00082055">
        <w:rPr>
          <w:rStyle w:val="FootnoteReference"/>
          <w:rFonts w:ascii="Arial" w:hAnsi="Arial" w:cs="Arial"/>
          <w:sz w:val="22"/>
          <w:szCs w:val="22"/>
        </w:rPr>
        <w:footnoteRef/>
      </w:r>
      <w:r w:rsidRPr="00082055">
        <w:rPr>
          <w:rFonts w:ascii="Arial" w:hAnsi="Arial" w:cs="Arial"/>
          <w:sz w:val="22"/>
          <w:szCs w:val="22"/>
        </w:rPr>
        <w:t xml:space="preserve"> </w:t>
      </w:r>
      <w:r w:rsidRPr="00082055">
        <w:rPr>
          <w:rFonts w:ascii="Arial" w:eastAsia="Arial" w:hAnsi="Arial" w:cs="Arial"/>
          <w:color w:val="000000"/>
          <w:sz w:val="22"/>
          <w:szCs w:val="22"/>
        </w:rPr>
        <w:t>Penal Law § 263.25. That statute also authorizes proof of the age of the child by “any other method authorized by any applicable provision of law or by the rules of evidence at common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750EE6"/>
    <w:multiLevelType w:val="multilevel"/>
    <w:tmpl w:val="910A91D6"/>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692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55"/>
    <w:rsid w:val="00037579"/>
    <w:rsid w:val="00082055"/>
    <w:rsid w:val="000C45E8"/>
    <w:rsid w:val="000E5FC3"/>
    <w:rsid w:val="00107997"/>
    <w:rsid w:val="00184DCE"/>
    <w:rsid w:val="00195032"/>
    <w:rsid w:val="00215AA2"/>
    <w:rsid w:val="0022525A"/>
    <w:rsid w:val="00254815"/>
    <w:rsid w:val="00271926"/>
    <w:rsid w:val="002A308A"/>
    <w:rsid w:val="003035A9"/>
    <w:rsid w:val="003542D7"/>
    <w:rsid w:val="00394582"/>
    <w:rsid w:val="0041002F"/>
    <w:rsid w:val="00417E1F"/>
    <w:rsid w:val="0064449E"/>
    <w:rsid w:val="006B7884"/>
    <w:rsid w:val="006C54AB"/>
    <w:rsid w:val="006D3D1C"/>
    <w:rsid w:val="006F6B73"/>
    <w:rsid w:val="007411C0"/>
    <w:rsid w:val="007C4A4D"/>
    <w:rsid w:val="008E25AF"/>
    <w:rsid w:val="008F4156"/>
    <w:rsid w:val="009117E4"/>
    <w:rsid w:val="009E6219"/>
    <w:rsid w:val="00A649A0"/>
    <w:rsid w:val="00AD48FC"/>
    <w:rsid w:val="00B22ABB"/>
    <w:rsid w:val="00CA70BB"/>
    <w:rsid w:val="00D61C8F"/>
    <w:rsid w:val="00E14619"/>
    <w:rsid w:val="00E31DAF"/>
    <w:rsid w:val="00F1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E132"/>
  <w15:chartTrackingRefBased/>
  <w15:docId w15:val="{92443A92-DDBC-4932-94E4-9ADE2DB5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styleId="Hyperlink">
    <w:name w:val="Hyperlink"/>
    <w:basedOn w:val="DefaultParagraphFont"/>
    <w:uiPriority w:val="99"/>
    <w:unhideWhenUsed/>
    <w:rsid w:val="008E25AF"/>
    <w:rPr>
      <w:color w:val="0563C1" w:themeColor="hyperlink"/>
      <w:u w:val="single"/>
    </w:rPr>
  </w:style>
  <w:style w:type="character" w:styleId="UnresolvedMention">
    <w:name w:val="Unresolved Mention"/>
    <w:basedOn w:val="DefaultParagraphFont"/>
    <w:uiPriority w:val="99"/>
    <w:semiHidden/>
    <w:unhideWhenUsed/>
    <w:rsid w:val="008E2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1193</Words>
  <Characters>6156</Characters>
  <Application>Microsoft Office Word</Application>
  <DocSecurity>0</DocSecurity>
  <Lines>153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13</cp:revision>
  <cp:lastPrinted>2024-05-18T22:14:00Z</cp:lastPrinted>
  <dcterms:created xsi:type="dcterms:W3CDTF">2023-07-21T21:17:00Z</dcterms:created>
  <dcterms:modified xsi:type="dcterms:W3CDTF">2024-05-18T22:14:00Z</dcterms:modified>
</cp:coreProperties>
</file>