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63" w:lineRule="exact"/>
        <w:ind w:right="0" w:left="0" w:firstLine="0"/>
        <w:jc w:val="center"/>
        <w:textAlignment w:val="baseline"/>
        <w:rPr>
          <w:rFonts w:ascii="Arial" w:hAnsi="Arial" w:eastAsia="Arial"/>
          <w:b w:val="true"/>
          <w:color w:val="000000"/>
          <w:spacing w:val="-3"/>
          <w:w w:val="100"/>
          <w:sz w:val="28"/>
          <w:vertAlign w:val="baseline"/>
          <w:lang w:val="en-US"/>
        </w:rPr>
      </w:pPr>
      <w:r>
        <w:rPr>
          <w:rFonts w:ascii="Arial" w:hAnsi="Arial" w:eastAsia="Arial"/>
          <w:b w:val="true"/>
          <w:color w:val="000000"/>
          <w:spacing w:val="-3"/>
          <w:w w:val="100"/>
          <w:sz w:val="28"/>
          <w:vertAlign w:val="baseline"/>
          <w:lang w:val="en-US"/>
        </w:rPr>
        <w:t xml:space="preserve">DISSEMINATION OF AN UNLAWFUL SURVEILLANCE IMAGE</w:t>
        <w:br/>
      </w:r>
      <w:r>
        <w:rPr>
          <w:rFonts w:ascii="Arial" w:hAnsi="Arial" w:eastAsia="Arial"/>
          <w:b w:val="true"/>
          <w:color w:val="000000"/>
          <w:spacing w:val="-3"/>
          <w:w w:val="100"/>
          <w:sz w:val="28"/>
          <w:vertAlign w:val="baseline"/>
          <w:lang w:val="en-US"/>
        </w:rPr>
        <w:t xml:space="preserve">IN THE SECOND DEGREE</w:t>
        <w:br/>
      </w:r>
      <w:r>
        <w:rPr>
          <w:rFonts w:ascii="Arial" w:hAnsi="Arial" w:eastAsia="Arial"/>
          <w:b w:val="true"/>
          <w:color w:val="000000"/>
          <w:spacing w:val="-3"/>
          <w:w w:val="100"/>
          <w:sz w:val="28"/>
          <w:vertAlign w:val="baseline"/>
          <w:lang w:val="en-US"/>
        </w:rPr>
        <w:t xml:space="preserve">Penal Law § 250.55</w:t>
        <w:br/>
      </w:r>
      <w:r>
        <w:rPr>
          <w:rFonts w:ascii="Arial" w:hAnsi="Arial" w:eastAsia="Arial"/>
          <w:b w:val="true"/>
          <w:color w:val="000000"/>
          <w:spacing w:val="-3"/>
          <w:w w:val="100"/>
          <w:sz w:val="28"/>
          <w:vertAlign w:val="baseline"/>
          <w:lang w:val="en-US"/>
        </w:rPr>
        <w:t xml:space="preserve">(Committed on or after Nov. 1, 2014)</w:t>
      </w:r>
    </w:p>
    <w:p>
      <w:pPr>
        <w:pageBreakBefore w:val="false"/>
        <w:spacing w:before="361"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Dissemination of an Unlawful Surveillance Image in the Second Degree.</w:t>
      </w:r>
    </w:p>
    <w:p>
      <w:pPr>
        <w:pageBreakBefore w:val="false"/>
        <w:spacing w:before="355"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guilty of Dissemination of an Unlawful Surveillance Image in the Second Degree when</w:t>
      </w:r>
    </w:p>
    <w:p>
      <w:pPr>
        <w:pageBreakBefore w:val="false"/>
        <w:spacing w:before="356" w:after="0" w:line="35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he or she, with knowledge of the unlawful conduct by which an image or images of the sexual or other intimate parts of another person or persons were obtained and</w:t>
      </w:r>
    </w:p>
    <w:p>
      <w:pPr>
        <w:pageBreakBefore w:val="false"/>
        <w:spacing w:before="359" w:after="0" w:line="352"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such unlawful conduct would satisfy the essential elements of the crime of Unlawful Surveillance in the [First </w:t>
      </w:r>
      <w:r>
        <w:rPr>
          <w:rFonts w:ascii="Arial" w:hAnsi="Arial" w:eastAsia="Arial"/>
          <w:color w:val="000000"/>
          <w:spacing w:val="-2"/>
          <w:w w:val="100"/>
          <w:sz w:val="28"/>
          <w:vertAlign w:val="superscript"/>
          <w:lang w:val="en-US"/>
        </w:rPr>
        <w:t xml:space="preserve">1</w:t>
      </w:r>
      <w:r>
        <w:rPr>
          <w:rFonts w:ascii="Arial" w:hAnsi="Arial" w:eastAsia="Arial"/>
          <w:color w:val="000000"/>
          <w:spacing w:val="-2"/>
          <w:w w:val="100"/>
          <w:sz w:val="28"/>
          <w:vertAlign w:val="baseline"/>
          <w:lang w:val="en-US"/>
        </w:rPr>
        <w:t xml:space="preserve">] Second Degree</w:t>
      </w:r>
    </w:p>
    <w:p>
      <w:pPr>
        <w:pageBreakBefore w:val="false"/>
        <w:spacing w:before="393"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intentionally disseminates such image or images.</w:t>
      </w:r>
    </w:p>
    <w:p>
      <w:pPr>
        <w:pageBreakBefore w:val="false"/>
        <w:spacing w:before="359" w:after="0" w:line="35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unlawful to obtain an image or images of the sexual or other intimate parts of another person or persons when it is done in violation of the crime(s) of Unlawful Surveillance in the [First] Second Degree.</w:t>
      </w:r>
    </w:p>
    <w:p>
      <w:pPr>
        <w:pageBreakBefore w:val="false"/>
        <w:spacing w:before="362" w:after="268" w:line="352" w:lineRule="exact"/>
        <w:ind w:right="0" w:left="0" w:firstLine="720"/>
        <w:jc w:val="both"/>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If Unlawful Surveillance in the [First] Second Degree has been separately charged, that charge should be given to the jury first and at this point the jury may then be instructed that the “unlawful surveillance” charge applies here. Otherwise, the jury</w:t>
      </w:r>
    </w:p>
    <w:p>
      <w:pPr>
        <w:pageBreakBefore w:val="false"/>
        <w:spacing w:before="318" w:after="799" w:line="256" w:lineRule="exact"/>
        <w:ind w:right="0" w:left="0" w:firstLine="0"/>
        <w:jc w:val="both"/>
        <w:textAlignment w:val="baseline"/>
        <w:rPr>
          <w:rFonts w:ascii="Times New Roman" w:hAnsi="Times New Roman" w:eastAsia="Times New Roman"/>
          <w:color w:val="000000"/>
          <w:spacing w:val="-4"/>
          <w:w w:val="100"/>
          <w:sz w:val="14"/>
          <w:vertAlign w:val="superscript"/>
          <w:lang w:val="en-US"/>
        </w:rPr>
      </w:pPr>
      <w:r>
        <w:pict>
          <v:line strokeweight="0.95pt" strokecolor="#000000" from="106.1pt,583.7pt" to="252.05pt,583.7pt" style="position:absolute;mso-position-horizontal-relative:page;mso-position-vertical-relative:page;">
            <v:stroke dashstyle="solid"/>
          </v:line>
        </w:pict>
      </w:r>
      <w:r>
        <w:rPr>
          <w:rFonts w:ascii="Times New Roman" w:hAnsi="Times New Roman" w:eastAsia="Times New Roman"/>
          <w:color w:val="000000"/>
          <w:spacing w:val="-4"/>
          <w:w w:val="100"/>
          <w:sz w:val="14"/>
          <w:vertAlign w:val="superscript"/>
          <w:lang w:val="en-US"/>
        </w:rPr>
        <w:t xml:space="preserve">1</w:t>
      </w:r>
      <w:r>
        <w:rPr>
          <w:rFonts w:ascii="Arial" w:hAnsi="Arial" w:eastAsia="Arial"/>
          <w:color w:val="000000"/>
          <w:spacing w:val="-4"/>
          <w:w w:val="100"/>
          <w:sz w:val="22"/>
          <w:vertAlign w:val="baseline"/>
          <w:lang w:val="en-US"/>
        </w:rPr>
        <w:t xml:space="preserve"> At this point the statute continues: “as defined, respectively, in section 250.50 or 250.45 of this article.” Those definitions are referenced below. It should be noted that Unlawful Surveillance in the First Degree is defined as: “A person is guilty of unlawful surveillance in the first degree when he or she commits the crime of unlawful surveillance in the second degree and has been previously convicted within the past ten years of unlawful surveillance in the first or second degree.” Normally therefore the jury will need to be instructed only on the second degree crime.</w:t>
      </w:r>
    </w:p>
    <w:p>
      <w:pPr>
        <w:spacing w:before="318" w:after="799" w:line="256" w:lineRule="exact"/>
        <w:sectPr>
          <w:type w:val="nextPage"/>
          <w:pgSz w:w="12240" w:h="15840" w:orient="portrait"/>
          <w:pgMar w:bottom="664" w:top="1040" w:right="2118" w:left="2122"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1 of 3</w:t>
      </w:r>
    </w:p>
    <w:p>
      <w:pPr>
        <w:sectPr>
          <w:type w:val="continuous"/>
          <w:pgSz w:w="12240" w:h="15840" w:orient="portrait"/>
          <w:pgMar w:bottom="664" w:top="1040" w:right="2118" w:left="2122" w:header="720" w:footer="720"/>
          <w:titlePg w:val="false"/>
          <w:textDirection w:val="lrTb"/>
        </w:sectPr>
      </w:pPr>
    </w:p>
    <w:p>
      <w:pPr>
        <w:pageBreakBefore w:val="false"/>
        <w:spacing w:before="9" w:after="0" w:line="358"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should be instructed here on the </w:t>
      </w:r>
      <w:r>
        <w:rPr>
          <w:rFonts w:ascii="Arial" w:hAnsi="Arial" w:eastAsia="Arial"/>
          <w:color w:val="000000"/>
          <w:spacing w:val="0"/>
          <w:w w:val="100"/>
          <w:sz w:val="28"/>
          <w:vertAlign w:val="baseline"/>
          <w:lang w:val="en-US"/>
        </w:rPr>
        <w:t xml:space="preserve">definition of the appropriate “unlawful surveillance” crime(s).</w:t>
      </w:r>
    </w:p>
    <w:p>
      <w:pPr>
        <w:pageBreakBefore w:val="false"/>
        <w:spacing w:before="347" w:after="0" w:line="35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the definition of Dissemination of an Unlawful Surveillance Image in the Second Degree have a special meaning:</w:t>
      </w:r>
    </w:p>
    <w:p>
      <w:pPr>
        <w:pageBreakBefore w:val="false"/>
        <w:spacing w:before="336" w:after="0" w:line="35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OR OTHER INTIMATE PARTS means the human male or female genitals, pubic area or buttocks, or the female breast below the top of the nipple, and shall include such part or parts which are covered only by an undergarment.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42" w:after="0" w:line="35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DISSEMINATE means to give, provide, lend, deliver, mail, send, forward, transfer or transmit, electronically or otherwise to another person.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57" w:after="0" w:line="35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disseminates an image [or images] when that person's conscious objective or purpose is to do so.</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49" w:after="0" w:line="358"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09" w:after="0" w:line="345" w:lineRule="exact"/>
        <w:ind w:right="0" w:left="1440" w:hanging="720"/>
        <w:jc w:val="both"/>
        <w:textAlignment w:val="baseline"/>
        <w:rPr>
          <w:rFonts w:ascii="Arial" w:hAnsi="Arial" w:eastAsia="Arial"/>
          <w:color w:val="000000"/>
          <w:spacing w:val="-3"/>
          <w:w w:val="100"/>
          <w:sz w:val="22"/>
          <w:vertAlign w:val="baseline"/>
          <w:lang w:val="en-US"/>
        </w:rPr>
      </w:pPr>
      <w:r>
        <w:rPr>
          <w:rFonts w:ascii="Arial" w:hAnsi="Arial" w:eastAsia="Arial"/>
          <w:color w:val="000000"/>
          <w:spacing w:val="-3"/>
          <w:w w:val="100"/>
          <w:sz w:val="22"/>
          <w:vertAlign w:val="baseline"/>
          <w:lang w:val="en-US"/>
        </w:rPr>
        <w:t xml:space="preserve">That on or about </w:t>
      </w:r>
      <w:r>
        <w:rPr>
          <w:rFonts w:ascii="Arial" w:hAnsi="Arial" w:eastAsia="Arial"/>
          <w:color w:val="000000"/>
          <w:spacing w:val="-3"/>
          <w:w w:val="100"/>
          <w:sz w:val="22"/>
          <w:u w:val="single"/>
          <w:vertAlign w:val="baseline"/>
          <w:lang w:val="en-US"/>
        </w:rPr>
        <w:t xml:space="preserve"> (</w:t>
      </w:r>
      <w:r>
        <w:rPr>
          <w:rFonts w:ascii="Arial" w:hAnsi="Arial" w:eastAsia="Arial"/>
          <w:i w:val="true"/>
          <w:color w:val="000000"/>
          <w:spacing w:val="-3"/>
          <w:w w:val="100"/>
          <w:sz w:val="22"/>
          <w:u w:val="single"/>
          <w:vertAlign w:val="baseline"/>
          <w:lang w:val="en-US"/>
        </w:rPr>
        <w:t xml:space="preserve">date</w:t>
      </w:r>
      <w:r>
        <w:rPr>
          <w:rFonts w:ascii="Arial" w:hAnsi="Arial" w:eastAsia="Arial"/>
          <w:color w:val="000000"/>
          <w:spacing w:val="-3"/>
          <w:w w:val="100"/>
          <w:sz w:val="22"/>
          <w:u w:val="single"/>
          <w:vertAlign w:val="baseline"/>
          <w:lang w:val="en-US"/>
        </w:rPr>
        <w:t xml:space="preserve">) </w:t>
      </w:r>
      <w:r>
        <w:rPr>
          <w:rFonts w:ascii="Arial" w:hAnsi="Arial" w:eastAsia="Arial"/>
          <w:color w:val="000000"/>
          <w:spacing w:val="-3"/>
          <w:w w:val="100"/>
          <w:sz w:val="22"/>
          <w:vertAlign w:val="baseline"/>
          <w:lang w:val="en-US"/>
        </w:rPr>
        <w:t xml:space="preserve"> , in the County of </w:t>
      </w:r>
      <w:r>
        <w:rPr>
          <w:rFonts w:ascii="Arial" w:hAnsi="Arial" w:eastAsia="Arial"/>
          <w:color w:val="000000"/>
          <w:spacing w:val="-3"/>
          <w:w w:val="100"/>
          <w:sz w:val="22"/>
          <w:u w:val="single"/>
          <w:vertAlign w:val="baseline"/>
          <w:lang w:val="en-US"/>
        </w:rPr>
        <w:t xml:space="preserve"> (County) </w:t>
      </w:r>
      <w:r>
        <w:rPr>
          <w:rFonts w:ascii="Arial" w:hAnsi="Arial" w:eastAsia="Arial"/>
          <w:color w:val="000000"/>
          <w:spacing w:val="-3"/>
          <w:w w:val="100"/>
          <w:sz w:val="22"/>
          <w:vertAlign w:val="baseline"/>
          <w:lang w:val="en-US"/>
        </w:rPr>
        <w:t xml:space="preserve"> , the defendant disseminated </w:t>
      </w:r>
      <w:r>
        <w:rPr>
          <w:rFonts w:ascii="Arial" w:hAnsi="Arial" w:eastAsia="Arial"/>
          <w:color w:val="000000"/>
          <w:spacing w:val="-3"/>
          <w:w w:val="100"/>
          <w:sz w:val="28"/>
          <w:vertAlign w:val="baseline"/>
          <w:lang w:val="en-US"/>
        </w:rPr>
        <w:t xml:space="preserve">an image [or images] of the sexual or other intimate parts of another person [or persons];</w:t>
      </w:r>
    </w:p>
    <w:p>
      <w:pPr>
        <w:pageBreakBefore w:val="false"/>
        <w:numPr>
          <w:ilvl w:val="0"/>
          <w:numId w:val="2"/>
        </w:numPr>
        <w:tabs>
          <w:tab w:val="clear" w:pos="720"/>
          <w:tab w:val="left" w:pos="1440"/>
        </w:tabs>
        <w:spacing w:before="344" w:after="385" w:line="358"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image [or images] [was/were] obtained by unlawful conduct which would satisfy the essential elements of the crime of Unlawful Surveillance in the [First] Second Degree; and</w:t>
      </w:r>
    </w:p>
    <w:p>
      <w:pPr>
        <w:pageBreakBefore w:val="false"/>
        <w:spacing w:before="270" w:after="0" w:line="250"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6.35pt,637.2pt" to="252.05pt,637.2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2</w:t>
      </w:r>
      <w:r>
        <w:rPr>
          <w:rFonts w:ascii="Arial" w:hAnsi="Arial" w:eastAsia="Arial"/>
          <w:color w:val="000000"/>
          <w:spacing w:val="0"/>
          <w:w w:val="100"/>
          <w:sz w:val="22"/>
          <w:vertAlign w:val="baseline"/>
          <w:lang w:val="en-US"/>
        </w:rPr>
        <w:t xml:space="preserve"> Penal Law § 250.40(3).</w:t>
      </w:r>
    </w:p>
    <w:p>
      <w:pPr>
        <w:pageBreakBefore w:val="false"/>
        <w:spacing w:before="273" w:after="0" w:line="250"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3</w:t>
      </w:r>
      <w:r>
        <w:rPr>
          <w:rFonts w:ascii="Arial" w:hAnsi="Arial" w:eastAsia="Arial"/>
          <w:color w:val="000000"/>
          <w:spacing w:val="0"/>
          <w:w w:val="100"/>
          <w:sz w:val="22"/>
          <w:vertAlign w:val="baseline"/>
          <w:lang w:val="en-US"/>
        </w:rPr>
        <w:t xml:space="preserve"> Penal Law § 250.40(5).</w:t>
      </w:r>
    </w:p>
    <w:p>
      <w:pPr>
        <w:pageBreakBefore w:val="false"/>
        <w:spacing w:before="283" w:after="0" w:line="260" w:lineRule="exact"/>
        <w:ind w:right="0" w:left="0" w:firstLine="0"/>
        <w:jc w:val="left"/>
        <w:textAlignment w:val="baseline"/>
        <w:rPr>
          <w:rFonts w:ascii="Times New Roman" w:hAnsi="Times New Roman" w:eastAsia="Times New Roman"/>
          <w:color w:val="000000"/>
          <w:spacing w:val="0"/>
          <w:w w:val="100"/>
          <w:sz w:val="16"/>
          <w:vertAlign w:val="baseline"/>
          <w:lang w:val="en-US"/>
        </w:rPr>
      </w:pPr>
      <w:r>
        <w:rPr>
          <w:rFonts w:ascii="Times New Roman" w:hAnsi="Times New Roman" w:eastAsia="Times New Roman"/>
          <w:color w:val="000000"/>
          <w:spacing w:val="0"/>
          <w:w w:val="100"/>
          <w:sz w:val="16"/>
          <w:vertAlign w:val="baseline"/>
          <w:lang w:val="en-US"/>
        </w:rPr>
        <w:t xml:space="preserve">4 </w:t>
      </w:r>
      <w:r>
        <w:rPr>
          <w:rFonts w:ascii="Arial" w:hAnsi="Arial" w:eastAsia="Arial"/>
          <w:i w:val="true"/>
          <w:color w:val="000000"/>
          <w:spacing w:val="0"/>
          <w:w w:val="100"/>
          <w:sz w:val="22"/>
          <w:vertAlign w:val="baseline"/>
          <w:lang w:val="en-US"/>
        </w:rPr>
        <w:t xml:space="preserve">See </w:t>
      </w:r>
      <w:r>
        <w:rPr>
          <w:rFonts w:ascii="Arial" w:hAnsi="Arial" w:eastAsia="Arial"/>
          <w:color w:val="000000"/>
          <w:spacing w:val="0"/>
          <w:w w:val="100"/>
          <w:sz w:val="22"/>
          <w:vertAlign w:val="baseline"/>
          <w:lang w:val="en-US"/>
        </w:rPr>
        <w:t xml:space="preserve">Penal Law § 15.05(1).</w:t>
      </w:r>
    </w:p>
    <w:p>
      <w:pPr>
        <w:pageBreakBefore w:val="false"/>
        <w:spacing w:before="260"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2 of 3</w:t>
      </w:r>
    </w:p>
    <w:p>
      <w:pPr>
        <w:sectPr>
          <w:type w:val="nextPage"/>
          <w:pgSz w:w="12240" w:h="15840" w:orient="portrait"/>
          <w:pgMar w:bottom="664" w:top="1040" w:right="2113" w:left="2127" w:header="720" w:footer="720"/>
          <w:titlePg w:val="false"/>
          <w:textDirection w:val="lrTb"/>
        </w:sectPr>
      </w:pPr>
    </w:p>
    <w:p>
      <w:pPr>
        <w:pageBreakBefore w:val="false"/>
        <w:tabs>
          <w:tab w:val="right" w:leader="none" w:pos="7992"/>
        </w:tabs>
        <w:spacing w:before="8"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disseminated the image [or</w:t>
      </w:r>
    </w:p>
    <w:p>
      <w:pPr>
        <w:pageBreakBefore w:val="false"/>
        <w:spacing w:before="1" w:after="0" w:line="35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images] intentionally and with knowledge of the unlawful conduct by which the image [or images] [was/were] obtained.</w:t>
      </w:r>
    </w:p>
    <w:p>
      <w:pPr>
        <w:pageBreakBefore w:val="false"/>
        <w:spacing w:before="356"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51" w:after="8902"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51" w:after="8902" w:line="355" w:lineRule="exact"/>
        <w:sectPr>
          <w:type w:val="nextPage"/>
          <w:pgSz w:w="12240" w:h="15840" w:orient="portrait"/>
          <w:pgMar w:bottom="664" w:top="1440" w:right="2112" w:left="2128"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3 of 3</w:t>
      </w:r>
    </w:p>
    <w:sectPr>
      <w:type w:val="continuous"/>
      <w:pgSz w:w="12240" w:h="15840" w:orient="portrait"/>
      <w:pgMar w:bottom="664" w:top="1440" w:right="2125" w:left="211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3"/>
        <w:w w:val="100"/>
        <w:sz w:val="22"/>
        <w:vertAlign w:val="baseline"/>
        <w:lang w:val="en-US"/>
      </w:rPr>
    </w:lvl>
  </w:abstractNum>
  <w:abstractNum w:abstractNumId="2">
    <w:lvl w:ilvl="0">
      <w:start w:val="0"/>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