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55" w:lineRule="exact"/>
        <w:ind w:right="0" w:left="0" w:firstLine="0"/>
        <w:jc w:val="center"/>
        <w:textAlignment w:val="baseline"/>
        <w:rPr>
          <w:rFonts w:ascii="Arial" w:hAnsi="Arial" w:eastAsia="Arial"/>
          <w:b w:val="true"/>
          <w:strike w:val="false"/>
          <w:color w:val="000000"/>
          <w:spacing w:val="0"/>
          <w:w w:val="100"/>
          <w:sz w:val="30"/>
          <w:vertAlign w:val="baseline"/>
          <w:lang w:val="en-US"/>
        </w:rPr>
      </w:pPr>
      <w:r>
        <w:rPr>
          <w:rFonts w:ascii="Arial" w:hAnsi="Arial" w:eastAsia="Arial"/>
          <w:b w:val="true"/>
          <w:strike w:val="false"/>
          <w:color w:val="000000"/>
          <w:spacing w:val="0"/>
          <w:w w:val="100"/>
          <w:sz w:val="30"/>
          <w:vertAlign w:val="baseline"/>
          <w:lang w:val="en-US"/>
        </w:rPr>
        <w:t xml:space="preserve">FALSELY REPORTING AN INCIDENT</w:t>
        <w:br/>
      </w:r>
      <w:r>
        <w:rPr>
          <w:rFonts w:ascii="Arial" w:hAnsi="Arial" w:eastAsia="Arial"/>
          <w:b w:val="true"/>
          <w:strike w:val="false"/>
          <w:color w:val="000000"/>
          <w:spacing w:val="0"/>
          <w:w w:val="100"/>
          <w:sz w:val="30"/>
          <w:vertAlign w:val="baseline"/>
          <w:lang w:val="en-US"/>
        </w:rPr>
        <w:t xml:space="preserve">IN THE THIRD DEGREE</w:t>
        <w:br/>
      </w:r>
      <w:r>
        <w:rPr>
          <w:rFonts w:ascii="Arial" w:hAnsi="Arial" w:eastAsia="Arial"/>
          <w:b w:val="true"/>
          <w:strike w:val="false"/>
          <w:color w:val="000000"/>
          <w:spacing w:val="0"/>
          <w:w w:val="100"/>
          <w:sz w:val="30"/>
          <w:vertAlign w:val="baseline"/>
          <w:lang w:val="en-US"/>
        </w:rPr>
        <w:t xml:space="preserve">(Falsely reporting abuse or</w:t>
        <w:br/>
      </w:r>
      <w:r>
        <w:rPr>
          <w:rFonts w:ascii="Arial" w:hAnsi="Arial" w:eastAsia="Arial"/>
          <w:b w:val="true"/>
          <w:strike w:val="false"/>
          <w:color w:val="000000"/>
          <w:spacing w:val="0"/>
          <w:w w:val="100"/>
          <w:sz w:val="30"/>
          <w:vertAlign w:val="baseline"/>
          <w:lang w:val="en-US"/>
        </w:rPr>
        <w:t xml:space="preserve">neglect of vulnerable person to registry)</w:t>
        <w:br/>
      </w:r>
      <w:r>
        <w:rPr>
          <w:rFonts w:ascii="Arial" w:hAnsi="Arial" w:eastAsia="Arial"/>
          <w:b w:val="true"/>
          <w:strike w:val="false"/>
          <w:color w:val="000000"/>
          <w:spacing w:val="0"/>
          <w:w w:val="100"/>
          <w:sz w:val="30"/>
          <w:vertAlign w:val="baseline"/>
          <w:lang w:val="en-US"/>
        </w:rPr>
        <w:t xml:space="preserve">Penal Law § 240.50(4)(a)</w:t>
        <w:br/>
      </w:r>
      <w:r>
        <w:rPr>
          <w:rFonts w:ascii="Arial" w:hAnsi="Arial" w:eastAsia="Arial"/>
          <w:b w:val="true"/>
          <w:strike w:val="false"/>
          <w:color w:val="000000"/>
          <w:spacing w:val="0"/>
          <w:w w:val="100"/>
          <w:sz w:val="30"/>
          <w:vertAlign w:val="baseline"/>
          <w:lang w:val="en-US"/>
        </w:rPr>
        <w:t xml:space="preserve">(Committed on or after Jan. 16, 2013)</w:t>
      </w:r>
    </w:p>
    <w:p>
      <w:pPr>
        <w:pageBreakBefore w:val="false"/>
        <w:spacing w:before="684" w:after="0" w:line="344" w:lineRule="exact"/>
        <w:ind w:right="0" w:left="0" w:firstLine="720"/>
        <w:jc w:val="both"/>
        <w:textAlignment w:val="baseline"/>
        <w:rPr>
          <w:rFonts w:ascii="Arial" w:hAnsi="Arial" w:eastAsia="Arial"/>
          <w:strike w:val="false"/>
          <w:color w:val="000000"/>
          <w:spacing w:val="0"/>
          <w:w w:val="100"/>
          <w:sz w:val="30"/>
          <w:vertAlign w:val="baseline"/>
          <w:lang w:val="en-US"/>
        </w:rPr>
      </w:pPr>
      <w:r>
        <w:rPr>
          <w:rFonts w:ascii="Arial" w:hAnsi="Arial" w:eastAsia="Arial"/>
          <w:strike w:val="false"/>
          <w:color w:val="000000"/>
          <w:spacing w:val="0"/>
          <w:w w:val="100"/>
          <w:sz w:val="30"/>
          <w:vertAlign w:val="baseline"/>
          <w:lang w:val="en-US"/>
        </w:rPr>
        <w:t xml:space="preserve">The </w:t>
      </w:r>
      <w:r>
        <w:rPr>
          <w:rFonts w:ascii="Arial" w:hAnsi="Arial" w:eastAsia="Arial"/>
          <w:strike w:val="false"/>
          <w:color w:val="000000"/>
          <w:spacing w:val="0"/>
          <w:w w:val="100"/>
          <w:sz w:val="30"/>
          <w:u w:val="single"/>
          <w:vertAlign w:val="baseline"/>
          <w:lang w:val="en-US"/>
        </w:rPr>
        <w:t xml:space="preserve">(</w:t>
      </w:r>
      <w:r>
        <w:rPr>
          <w:rFonts w:ascii="Arial" w:hAnsi="Arial" w:eastAsia="Arial"/>
          <w:i w:val="true"/>
          <w:strike w:val="false"/>
          <w:color w:val="000000"/>
          <w:spacing w:val="0"/>
          <w:w w:val="100"/>
          <w:sz w:val="30"/>
          <w:u w:val="single"/>
          <w:vertAlign w:val="baseline"/>
          <w:lang w:val="en-US"/>
        </w:rPr>
        <w:t xml:space="preserve">specify</w:t>
      </w:r>
      <w:r>
        <w:rPr>
          <w:rFonts w:ascii="Arial" w:hAnsi="Arial" w:eastAsia="Arial"/>
          <w:strike w:val="false"/>
          <w:color w:val="000000"/>
          <w:spacing w:val="0"/>
          <w:w w:val="100"/>
          <w:sz w:val="30"/>
          <w:u w:val="single"/>
          <w:vertAlign w:val="baseline"/>
          <w:lang w:val="en-US"/>
        </w:rPr>
        <w:t xml:space="preserve">)</w:t>
      </w:r>
      <w:r>
        <w:rPr>
          <w:rFonts w:ascii="Arial" w:hAnsi="Arial" w:eastAsia="Arial"/>
          <w:strike w:val="false"/>
          <w:color w:val="000000"/>
          <w:spacing w:val="0"/>
          <w:w w:val="100"/>
          <w:sz w:val="30"/>
          <w:vertAlign w:val="baseline"/>
          <w:lang w:val="en-US"/>
        </w:rPr>
        <w:t xml:space="preserve"> count is Falsely Reporting an Incident in the Third Degree.</w:t>
      </w:r>
    </w:p>
    <w:p>
      <w:pPr>
        <w:pageBreakBefore w:val="false"/>
        <w:spacing w:before="331" w:after="0" w:line="344" w:lineRule="exact"/>
        <w:ind w:right="0" w:left="0" w:firstLine="720"/>
        <w:jc w:val="both"/>
        <w:textAlignment w:val="baseline"/>
        <w:rPr>
          <w:rFonts w:ascii="Arial" w:hAnsi="Arial" w:eastAsia="Arial"/>
          <w:strike w:val="false"/>
          <w:color w:val="000000"/>
          <w:spacing w:val="-4"/>
          <w:w w:val="100"/>
          <w:sz w:val="30"/>
          <w:vertAlign w:val="baseline"/>
          <w:lang w:val="en-US"/>
        </w:rPr>
      </w:pPr>
      <w:r>
        <w:rPr>
          <w:rFonts w:ascii="Arial" w:hAnsi="Arial" w:eastAsia="Arial"/>
          <w:strike w:val="false"/>
          <w:color w:val="000000"/>
          <w:spacing w:val="-4"/>
          <w:w w:val="100"/>
          <w:sz w:val="30"/>
          <w:vertAlign w:val="baseline"/>
          <w:lang w:val="en-US"/>
        </w:rPr>
        <w:t xml:space="preserve">Under our law, a person is guilty of Falsely Reporting an Incident in the Third Degree when, knowing the information reported, conveyed or circulated to be false or baseless, he or she reports, by word or action, an alleged occurrence or condition of abuse or neglect</w:t>
      </w:r>
      <w:r>
        <w:rPr>
          <w:rFonts w:ascii="Arial" w:hAnsi="Arial" w:eastAsia="Arial"/>
          <w:strike w:val="false"/>
          <w:color w:val="000000"/>
          <w:spacing w:val="-4"/>
          <w:w w:val="100"/>
          <w:sz w:val="30"/>
          <w:vertAlign w:val="superscript"/>
          <w:lang w:val="en-US"/>
        </w:rPr>
        <w:t xml:space="preserve">1</w:t>
      </w:r>
      <w:r>
        <w:rPr>
          <w:rFonts w:ascii="Arial" w:hAnsi="Arial" w:eastAsia="Arial"/>
          <w:strike w:val="false"/>
          <w:color w:val="000000"/>
          <w:spacing w:val="-4"/>
          <w:w w:val="100"/>
          <w:sz w:val="30"/>
          <w:vertAlign w:val="baseline"/>
          <w:lang w:val="en-US"/>
        </w:rPr>
        <w:t xml:space="preserve"> of a vulnerable person</w:t>
      </w:r>
      <w:r>
        <w:rPr>
          <w:rFonts w:ascii="Arial" w:hAnsi="Arial" w:eastAsia="Arial"/>
          <w:strike w:val="false"/>
          <w:color w:val="000000"/>
          <w:spacing w:val="-4"/>
          <w:w w:val="100"/>
          <w:sz w:val="30"/>
          <w:vertAlign w:val="superscript"/>
          <w:lang w:val="en-US"/>
        </w:rPr>
        <w:t xml:space="preserve">2</w:t>
      </w:r>
      <w:r>
        <w:rPr>
          <w:rFonts w:ascii="Arial" w:hAnsi="Arial" w:eastAsia="Arial"/>
          <w:strike w:val="false"/>
          <w:color w:val="000000"/>
          <w:spacing w:val="-4"/>
          <w:w w:val="100"/>
          <w:sz w:val="30"/>
          <w:vertAlign w:val="baseline"/>
          <w:lang w:val="en-US"/>
        </w:rPr>
        <w:t xml:space="preserve">, which did not in fact occur or exist, to the vulnerable persons’ central register</w:t>
      </w:r>
      <w:r>
        <w:rPr>
          <w:rFonts w:ascii="Arial" w:hAnsi="Arial" w:eastAsia="Arial"/>
          <w:strike w:val="false"/>
          <w:color w:val="000000"/>
          <w:spacing w:val="-4"/>
          <w:w w:val="100"/>
          <w:sz w:val="30"/>
          <w:vertAlign w:val="superscript"/>
          <w:lang w:val="en-US"/>
        </w:rPr>
        <w:t xml:space="preserve">3</w:t>
      </w:r>
      <w:r>
        <w:rPr>
          <w:rFonts w:ascii="Arial" w:hAnsi="Arial" w:eastAsia="Arial"/>
          <w:strike w:val="false"/>
          <w:color w:val="000000"/>
          <w:spacing w:val="-4"/>
          <w:w w:val="100"/>
          <w:sz w:val="30"/>
          <w:vertAlign w:val="baseline"/>
          <w:lang w:val="en-US"/>
        </w:rPr>
        <w:t xml:space="preserve">.</w:t>
      </w:r>
    </w:p>
    <w:p>
      <w:pPr>
        <w:pageBreakBefore w:val="false"/>
        <w:spacing w:before="344" w:after="0" w:line="344" w:lineRule="exact"/>
        <w:ind w:right="0" w:left="0" w:firstLine="720"/>
        <w:jc w:val="both"/>
        <w:textAlignment w:val="baseline"/>
        <w:rPr>
          <w:rFonts w:ascii="Arial" w:hAnsi="Arial" w:eastAsia="Arial"/>
          <w:strike w:val="false"/>
          <w:color w:val="000000"/>
          <w:spacing w:val="-4"/>
          <w:w w:val="100"/>
          <w:sz w:val="30"/>
          <w:vertAlign w:val="baseline"/>
          <w:lang w:val="en-US"/>
        </w:rPr>
      </w:pPr>
      <w:r>
        <w:rPr>
          <w:rFonts w:ascii="Arial" w:hAnsi="Arial" w:eastAsia="Arial"/>
          <w:strike w:val="false"/>
          <w:color w:val="000000"/>
          <w:spacing w:val="-4"/>
          <w:w w:val="100"/>
          <w:sz w:val="30"/>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tabs>
          <w:tab w:val="right" w:leader="none" w:pos="7920"/>
        </w:tabs>
        <w:spacing w:before="349" w:after="0" w:line="344" w:lineRule="exact"/>
        <w:ind w:right="0" w:left="720" w:firstLine="0"/>
        <w:jc w:val="both"/>
        <w:textAlignment w:val="baseline"/>
        <w:rPr>
          <w:rFonts w:ascii="Arial" w:hAnsi="Arial" w:eastAsia="Arial"/>
          <w:strike w:val="false"/>
          <w:color w:val="000000"/>
          <w:spacing w:val="0"/>
          <w:w w:val="100"/>
          <w:sz w:val="30"/>
          <w:vertAlign w:val="baseline"/>
          <w:lang w:val="en-US"/>
        </w:rPr>
      </w:pPr>
      <w:r>
        <w:rPr>
          <w:rFonts w:ascii="Arial" w:hAnsi="Arial" w:eastAsia="Arial"/>
          <w:strike w:val="false"/>
          <w:color w:val="000000"/>
          <w:spacing w:val="0"/>
          <w:w w:val="100"/>
          <w:sz w:val="30"/>
          <w:vertAlign w:val="baseline"/>
          <w:lang w:val="en-US"/>
        </w:rPr>
        <w:t xml:space="preserve">1.	</w:t>
      </w:r>
      <w:r>
        <w:rPr>
          <w:rFonts w:ascii="Arial" w:hAnsi="Arial" w:eastAsia="Arial"/>
          <w:strike w:val="false"/>
          <w:color w:val="000000"/>
          <w:spacing w:val="0"/>
          <w:w w:val="100"/>
          <w:sz w:val="30"/>
          <w:vertAlign w:val="baseline"/>
          <w:lang w:val="en-US"/>
        </w:rPr>
        <w:t xml:space="preserve">That on or about </w:t>
      </w:r>
      <w:r>
        <w:rPr>
          <w:rFonts w:ascii="Arial" w:hAnsi="Arial" w:eastAsia="Arial"/>
          <w:i w:val="true"/>
          <w:strike w:val="false"/>
          <w:color w:val="000000"/>
          <w:spacing w:val="0"/>
          <w:w w:val="100"/>
          <w:sz w:val="30"/>
          <w:u w:val="single"/>
          <w:vertAlign w:val="baseline"/>
          <w:lang w:val="en-US"/>
        </w:rPr>
        <w:t xml:space="preserve"> (date) </w:t>
      </w:r>
      <w:r>
        <w:rPr>
          <w:rFonts w:ascii="Arial" w:hAnsi="Arial" w:eastAsia="Arial"/>
          <w:strike w:val="false"/>
          <w:color w:val="000000"/>
          <w:spacing w:val="0"/>
          <w:w w:val="100"/>
          <w:sz w:val="30"/>
          <w:vertAlign w:val="baseline"/>
          <w:lang w:val="en-US"/>
        </w:rPr>
        <w:t xml:space="preserve"> , in the county of</w:t>
      </w:r>
    </w:p>
    <w:p>
      <w:pPr>
        <w:pageBreakBefore w:val="false"/>
        <w:spacing w:before="0" w:after="252" w:line="341" w:lineRule="exact"/>
        <w:ind w:right="0" w:left="1440" w:firstLine="0"/>
        <w:jc w:val="both"/>
        <w:textAlignment w:val="baseline"/>
        <w:rPr>
          <w:rFonts w:ascii="Arial" w:hAnsi="Arial" w:eastAsia="Arial"/>
          <w:i w:val="true"/>
          <w:strike w:val="false"/>
          <w:color w:val="000000"/>
          <w:spacing w:val="-5"/>
          <w:w w:val="100"/>
          <w:sz w:val="30"/>
          <w:u w:val="single"/>
          <w:vertAlign w:val="baseline"/>
          <w:lang w:val="en-US"/>
        </w:rPr>
      </w:pPr>
      <w:r>
        <w:rPr>
          <w:rFonts w:ascii="Arial" w:hAnsi="Arial" w:eastAsia="Arial"/>
          <w:i w:val="true"/>
          <w:strike w:val="false"/>
          <w:color w:val="000000"/>
          <w:spacing w:val="-5"/>
          <w:w w:val="100"/>
          <w:sz w:val="30"/>
          <w:u w:val="single"/>
          <w:vertAlign w:val="baseline"/>
          <w:lang w:val="en-US"/>
        </w:rPr>
        <w:t xml:space="preserve">(County) </w:t>
      </w:r>
      <w:r>
        <w:rPr>
          <w:rFonts w:ascii="Arial" w:hAnsi="Arial" w:eastAsia="Arial"/>
          <w:strike w:val="false"/>
          <w:color w:val="000000"/>
          <w:spacing w:val="-5"/>
          <w:w w:val="100"/>
          <w:sz w:val="30"/>
          <w:vertAlign w:val="baseline"/>
          <w:lang w:val="en-US"/>
        </w:rPr>
        <w:t xml:space="preserve"> , the defendant, </w:t>
      </w:r>
      <w:r>
        <w:rPr>
          <w:rFonts w:ascii="Arial" w:hAnsi="Arial" w:eastAsia="Arial"/>
          <w:i w:val="true"/>
          <w:strike w:val="false"/>
          <w:color w:val="000000"/>
          <w:spacing w:val="-5"/>
          <w:w w:val="100"/>
          <w:sz w:val="30"/>
          <w:u w:val="single"/>
          <w:vertAlign w:val="baseline"/>
          <w:lang w:val="en-US"/>
        </w:rPr>
        <w:t xml:space="preserve"> (defendant's name)</w:t>
      </w:r>
      <w:r>
        <w:rPr>
          <w:rFonts w:ascii="Arial" w:hAnsi="Arial" w:eastAsia="Arial"/>
          <w:strike w:val="false"/>
          <w:color w:val="000000"/>
          <w:spacing w:val="-5"/>
          <w:w w:val="100"/>
          <w:sz w:val="30"/>
          <w:u w:val="single"/>
          <w:vertAlign w:val="baseline"/>
          <w:lang w:val="en-US"/>
        </w:rPr>
        <w:t xml:space="preserve">, </w:t>
      </w:r>
      <w:r>
        <w:rPr>
          <w:rFonts w:ascii="Arial" w:hAnsi="Arial" w:eastAsia="Arial"/>
          <w:strike w:val="false"/>
          <w:color w:val="000000"/>
          <w:spacing w:val="-5"/>
          <w:w w:val="100"/>
          <w:sz w:val="30"/>
          <w:vertAlign w:val="baseline"/>
          <w:lang w:val="en-US"/>
        </w:rPr>
        <w:t xml:space="preserve">reported, by word or action, an alleged occurrence or condition of abuse or neglect of a vulnerable person, which did not in fact occur or exist;</w:t>
      </w:r>
    </w:p>
    <w:p>
      <w:pPr>
        <w:pageBreakBefore w:val="false"/>
        <w:spacing w:before="255"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pict>
          <v:line strokeweight="1.2pt" strokecolor="#000000" from="108pt,587.3pt" to="252.05pt,587.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If in issue, conduct constituting “abuse or neglect” is set forth in Social Services Law § 488 (1) (a) - (h).</w:t>
      </w:r>
    </w:p>
    <w:p>
      <w:pPr>
        <w:pageBreakBefore w:val="false"/>
        <w:spacing w:before="243"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If in issue, the definition of “vulnerable person” is set forth in Social Services Law § 488 (15).</w:t>
      </w:r>
    </w:p>
    <w:p>
      <w:pPr>
        <w:pageBreakBefore w:val="false"/>
        <w:spacing w:before="234" w:after="0" w:line="277"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statute continues as follows: “as defined in article eleven of [the social services] law.” If in issue, the definition of “vulnerable persons’ central register” is set forth in Social Services Law § 488 (14).</w:t>
      </w:r>
    </w:p>
    <w:p>
      <w:pPr>
        <w:sectPr>
          <w:type w:val="nextPage"/>
          <w:pgSz w:w="12240" w:h="15840" w:orient="portrait"/>
          <w:pgMar w:bottom="1024" w:top="1440" w:right="2140" w:left="2160" w:header="720" w:footer="720"/>
          <w:titlePg w:val="false"/>
          <w:textDirection w:val="lrTb"/>
        </w:sectPr>
      </w:pPr>
    </w:p>
    <w:p>
      <w:pPr>
        <w:pageBreakBefore w:val="false"/>
        <w:numPr>
          <w:ilvl w:val="0"/>
          <w:numId w:val="1"/>
        </w:numPr>
        <w:tabs>
          <w:tab w:val="clear" w:pos="720"/>
          <w:tab w:val="left" w:pos="1440"/>
        </w:tabs>
        <w:spacing w:before="11" w:after="0" w:line="341" w:lineRule="exact"/>
        <w:ind w:right="0" w:left="1440" w:hanging="720"/>
        <w:jc w:val="both"/>
        <w:textAlignment w:val="baseline"/>
        <w:rPr>
          <w:rFonts w:ascii="Arial" w:hAnsi="Arial" w:eastAsia="Arial"/>
          <w:strike w:val="false"/>
          <w:color w:val="000000"/>
          <w:spacing w:val="0"/>
          <w:w w:val="100"/>
          <w:sz w:val="30"/>
          <w:vertAlign w:val="baseline"/>
          <w:lang w:val="en-US"/>
        </w:rPr>
      </w:pPr>
      <w:r>
        <w:rPr>
          <w:rFonts w:ascii="Arial" w:hAnsi="Arial" w:eastAsia="Arial"/>
          <w:strike w:val="false"/>
          <w:color w:val="000000"/>
          <w:spacing w:val="0"/>
          <w:w w:val="100"/>
          <w:sz w:val="30"/>
          <w:vertAlign w:val="baseline"/>
          <w:lang w:val="en-US"/>
        </w:rPr>
        <w:t xml:space="preserve">That the defendant made such report to the vulnerable persons’ central register; and</w:t>
      </w:r>
    </w:p>
    <w:p>
      <w:pPr>
        <w:pageBreakBefore w:val="false"/>
        <w:numPr>
          <w:ilvl w:val="0"/>
          <w:numId w:val="2"/>
        </w:numPr>
        <w:tabs>
          <w:tab w:val="clear" w:pos="720"/>
          <w:tab w:val="left" w:pos="1440"/>
          <w:tab w:val="right" w:leader="none" w:pos="7920"/>
        </w:tabs>
        <w:spacing w:before="344" w:after="0" w:line="343" w:lineRule="exact"/>
        <w:ind w:right="0" w:left="1440" w:hanging="720"/>
        <w:jc w:val="both"/>
        <w:textAlignment w:val="baseline"/>
        <w:rPr>
          <w:rFonts w:ascii="Arial" w:hAnsi="Arial" w:eastAsia="Arial"/>
          <w:strike w:val="false"/>
          <w:color w:val="000000"/>
          <w:spacing w:val="0"/>
          <w:w w:val="100"/>
          <w:sz w:val="30"/>
          <w:vertAlign w:val="baseline"/>
          <w:lang w:val="en-US"/>
        </w:rPr>
      </w:pPr>
      <w:r>
        <w:rPr>
          <w:rFonts w:ascii="Arial" w:hAnsi="Arial" w:eastAsia="Arial"/>
          <w:strike w:val="false"/>
          <w:color w:val="000000"/>
          <w:spacing w:val="0"/>
          <w:w w:val="100"/>
          <w:sz w:val="30"/>
          <w:vertAlign w:val="baseline"/>
          <w:lang w:val="en-US"/>
        </w:rPr>
        <w:t xml:space="preserve">That, at that time, the defendant knew that the</w:t>
        <w:br/>
      </w:r>
      <w:r>
        <w:rPr>
          <w:rFonts w:ascii="Arial" w:hAnsi="Arial" w:eastAsia="Arial"/>
          <w:strike w:val="false"/>
          <w:color w:val="000000"/>
          <w:spacing w:val="0"/>
          <w:w w:val="100"/>
          <w:sz w:val="30"/>
          <w:vertAlign w:val="baseline"/>
          <w:lang w:val="en-US"/>
        </w:rPr>
        <w:t xml:space="preserve">information reported, conveyed or circulated was false or baseless.</w:t>
      </w:r>
    </w:p>
    <w:p>
      <w:pPr>
        <w:pageBreakBefore w:val="false"/>
        <w:spacing w:before="34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8068"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8068" w:line="324" w:lineRule="exact"/>
        <w:sectPr>
          <w:type w:val="nextPage"/>
          <w:pgSz w:w="12240" w:h="15840" w:orient="portrait"/>
          <w:pgMar w:bottom="1024" w:top="1440" w:right="2145" w:left="2155"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strike w:val="false"/>
          <w:color w:val="000000"/>
          <w:spacing w:val="0"/>
          <w:w w:val="100"/>
          <w:sz w:val="20"/>
          <w:vertAlign w:val="baseline"/>
          <w:lang w:val="en-US"/>
        </w:rPr>
      </w:pPr>
      <w:r>
        <w:rPr>
          <w:rFonts w:ascii="Arial" w:hAnsi="Arial" w:eastAsia="Arial"/>
          <w:strike w:val="false"/>
          <w:color w:val="000000"/>
          <w:spacing w:val="0"/>
          <w:w w:val="100"/>
          <w:sz w:val="20"/>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strike w:val="false"/>
        <w:color w:val="000000"/>
        <w:spacing w:val="0"/>
        <w:w w:val="100"/>
        <w:sz w:val="30"/>
        <w:vertAlign w:val="baseline"/>
        <w:lang w:val="en-US"/>
      </w:rPr>
    </w:lvl>
  </w:abstractNum>
  <w:abstractNum w:abstractNumId="2">
    <w:lvl w:ilvl="0">
      <w:start w:val="1"/>
      <w:numFmt w:val="decimal"/>
      <w:lvlText w:val="%1."/>
      <w:pPr>
        <w:tabs>
          <w:tab w:val="left" w:pos="720"/>
        </w:tabs>
      </w:pPr>
      <w:rPr>
        <w:rFonts w:ascii="Arial" w:hAnsi="Arial" w:eastAsia="Arial"/>
        <w:strike w:val="false"/>
        <w:color w:val="000000"/>
        <w:spacing w:val="0"/>
        <w:w w:val="100"/>
        <w:sz w:val="30"/>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