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FALSELY REPORTING AN INCIDENT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(Falsely reporting child abuse to central register)</w:t>
        <w:br/>
      </w:r>
      <w:r>
        <w:rPr>
          <w:rFonts w:ascii="Arial" w:hAnsi="Arial" w:eastAsia="Arial"/>
          <w:b w:val="true"/>
          <w:strike w:val="false"/>
          <w:color w:val="000000"/>
          <w:spacing w:val="0"/>
          <w:w w:val="100"/>
          <w:sz w:val="28"/>
          <w:vertAlign w:val="baseline"/>
          <w:lang w:val="en-US"/>
        </w:rPr>
        <w:t xml:space="preserve">Penal Law § 240.50 (4)(a)</w:t>
        <w:br/>
      </w:r>
      <w:r>
        <w:rPr>
          <w:rFonts w:ascii="Arial" w:hAnsi="Arial" w:eastAsia="Arial"/>
          <w:b w:val="true"/>
          <w:strike w:val="false"/>
          <w:color w:val="000000"/>
          <w:spacing w:val="0"/>
          <w:w w:val="100"/>
          <w:sz w:val="28"/>
          <w:vertAlign w:val="baseline"/>
          <w:lang w:val="en-US"/>
        </w:rPr>
        <w:t xml:space="preserve">(Committed on or after Sept. 17, 2001)</w:t>
      </w:r>
    </w:p>
    <w:p>
      <w:pPr>
        <w:pageBreakBefore w:val="false"/>
        <w:spacing w:before="64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Falsely Reporting an Incident in the Third Degree.</w:t>
      </w:r>
    </w:p>
    <w:p>
      <w:pPr>
        <w:pageBreakBefore w:val="false"/>
        <w:spacing w:before="31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Falsely Reporting an Incident in the Third Degree when, knowing the information reported, conveyed or circulated to be false or baseless, he or she reports, by word or action, an alleged occurrence or condition of child abuse or maltreatment, which did not in fact occur or exist, to the statewide central register of child abuse and maltreatment.</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reported, by word or action, an alleged occurrence or condition of child abuse or maltreatment, which did not in fact occur or exist;</w:t>
      </w:r>
    </w:p>
    <w:p>
      <w:pPr>
        <w:pageBreakBefore w:val="false"/>
        <w:numPr>
          <w:ilvl w:val="0"/>
          <w:numId w:val="1"/>
        </w:numPr>
        <w:tabs>
          <w:tab w:val="clear" w:pos="720"/>
          <w:tab w:val="left" w:pos="1440"/>
        </w:tabs>
        <w:spacing w:before="322" w:after="0" w:line="324"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made such report to the statewide central register of child abuse and maltreatment; and</w:t>
      </w:r>
    </w:p>
    <w:p>
      <w:pPr>
        <w:pageBreakBefore w:val="false"/>
        <w:numPr>
          <w:ilvl w:val="0"/>
          <w:numId w:val="1"/>
        </w:numPr>
        <w:tabs>
          <w:tab w:val="clear" w:pos="720"/>
          <w:tab w:val="left" w:pos="1440"/>
        </w:tabs>
        <w:spacing w:before="328" w:after="538"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that the information reported, conveyed or circulated was false or baseless.</w:t>
      </w:r>
    </w:p>
    <w:p>
      <w:pPr>
        <w:pageBreakBefore w:val="false"/>
        <w:spacing w:before="260"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652.8pt" to="252.05pt,652.8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statute continues as follows: “as defined in title six of article six of the social services law.” While Social Services Law § 422 establishes a statewide central register of child abuse and maltreatment, there is no specific definition of that term in the Social Services Law.</w:t>
      </w:r>
    </w:p>
    <w:p>
      <w:pPr>
        <w:sectPr>
          <w:type w:val="nextPage"/>
          <w:pgSz w:w="12240" w:h="15840" w:orient="portrait"/>
          <w:pgMar w:bottom="1024" w:top="1440" w:right="2140" w:left="2160"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10468"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18" w:after="10468" w:line="326" w:lineRule="exact"/>
        <w:sectPr>
          <w:type w:val="nextPage"/>
          <w:pgSz w:w="12240" w:h="15840" w:orient="portrait"/>
          <w:pgMar w:bottom="1024" w:top="1440" w:right="2145" w:left="2155"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