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AGGRAVATED HARASSMENT IN THE SECOND DEGREE</w:t>
        <w:br/>
      </w:r>
      <w:r>
        <w:rPr>
          <w:rFonts w:ascii="Arial" w:hAnsi="Arial" w:eastAsia="Arial"/>
          <w:b w:val="true"/>
          <w:strike w:val="false"/>
          <w:color w:val="000000"/>
          <w:spacing w:val="0"/>
          <w:w w:val="100"/>
          <w:sz w:val="28"/>
          <w:vertAlign w:val="baseline"/>
          <w:lang w:val="en-US"/>
        </w:rPr>
        <w:t xml:space="preserve">(Electronic or Mail Communication)</w:t>
        <w:br/>
      </w:r>
      <w:r>
        <w:rPr>
          <w:rFonts w:ascii="Arial" w:hAnsi="Arial" w:eastAsia="Arial"/>
          <w:b w:val="true"/>
          <w:strike w:val="false"/>
          <w:color w:val="000000"/>
          <w:spacing w:val="0"/>
          <w:w w:val="100"/>
          <w:sz w:val="28"/>
          <w:vertAlign w:val="baseline"/>
          <w:lang w:val="en-US"/>
        </w:rPr>
        <w:t xml:space="preserve">Penal Law § 240.30 (1)(a) and (b)</w:t>
        <w:br/>
      </w:r>
      <w:r>
        <w:rPr>
          <w:rFonts w:ascii="Arial" w:hAnsi="Arial" w:eastAsia="Arial"/>
          <w:b w:val="true"/>
          <w:strike w:val="false"/>
          <w:color w:val="000000"/>
          <w:spacing w:val="0"/>
          <w:w w:val="100"/>
          <w:sz w:val="28"/>
          <w:vertAlign w:val="baseline"/>
          <w:lang w:val="en-US"/>
        </w:rPr>
        <w:t xml:space="preserve">(Committed on or after July 23, 2014)</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64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count is Aggravated Harassment in the Second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Aggravated Harassment in the Second Degree when, with intent to harass another person, the actor</w:t>
      </w:r>
    </w:p>
    <w:p>
      <w:pPr>
        <w:pageBreakBefore w:val="false"/>
        <w:spacing w:before="331"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20"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communicates, anonymously or otherwise, </w:t>
      </w:r>
      <w:r>
        <w:rPr>
          <w:rFonts w:ascii="Arial" w:hAnsi="Arial" w:eastAsia="Arial"/>
          <w:i w:val="true"/>
          <w:strike w:val="false"/>
          <w:color w:val="000000"/>
          <w:spacing w:val="0"/>
          <w:w w:val="100"/>
          <w:sz w:val="28"/>
          <w:vertAlign w:val="baseline"/>
          <w:lang w:val="en-US"/>
        </w:rPr>
        <w:t xml:space="preserve">or</w:t>
      </w:r>
    </w:p>
    <w:p>
      <w:pPr>
        <w:pageBreakBefore w:val="false"/>
        <w:spacing w:before="325"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causes a communication to be initiated anonymously or otherwise,</w:t>
      </w:r>
    </w:p>
    <w:p>
      <w:pPr>
        <w:pageBreakBefore w:val="false"/>
        <w:spacing w:before="324" w:after="0" w:line="324" w:lineRule="exact"/>
        <w:ind w:right="0"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w:t>
      </w:r>
      <w:r>
        <w:rPr>
          <w:rFonts w:ascii="Arial" w:hAnsi="Arial" w:eastAsia="Arial"/>
          <w:i w:val="true"/>
          <w:strike w:val="false"/>
          <w:color w:val="000000"/>
          <w:spacing w:val="-4"/>
          <w:w w:val="100"/>
          <w:sz w:val="28"/>
          <w:vertAlign w:val="baseline"/>
          <w:lang w:val="en-US"/>
        </w:rPr>
        <w:t xml:space="preserve">Select applicable means: </w:t>
      </w:r>
      <w:r>
        <w:rPr>
          <w:rFonts w:ascii="Arial" w:hAnsi="Arial" w:eastAsia="Arial"/>
          <w:strike w:val="false"/>
          <w:color w:val="000000"/>
          <w:spacing w:val="-4"/>
          <w:w w:val="100"/>
          <w:sz w:val="28"/>
          <w:vertAlign w:val="baseline"/>
          <w:lang w:val="en-US"/>
        </w:rPr>
        <w:t xml:space="preserve">by telephone, by computer or any other electronic means, or by mail, or by transmitting or delivering any other form of communication],</w:t>
      </w:r>
    </w:p>
    <w:p>
      <w:pPr>
        <w:pageBreakBefore w:val="false"/>
        <w:spacing w:before="324" w:after="754"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threat to cause physical harm to, or unlawful harm to the property of, such person [or a member of such person’s same family or household</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baseline"/>
          <w:lang w:val="en-US"/>
        </w:rPr>
        <w:t xml:space="preserve">], and the actor knows or reasonably should know that such communication will cause such person to reasonably fear harm to such person’s physical safety or property, [or to the physical safety or property of a member of such person’s same family or household].</w:t>
      </w:r>
    </w:p>
    <w:p>
      <w:pPr>
        <w:pageBreakBefore w:val="false"/>
        <w:spacing w:before="270" w:after="0" w:line="278" w:lineRule="exact"/>
        <w:ind w:right="0" w:left="0" w:firstLine="288"/>
        <w:jc w:val="both"/>
        <w:textAlignment w:val="baseline"/>
        <w:rPr>
          <w:rFonts w:ascii="Arial" w:hAnsi="Arial" w:eastAsia="Arial"/>
          <w:strike w:val="false"/>
          <w:color w:val="000000"/>
          <w:spacing w:val="-3"/>
          <w:w w:val="100"/>
          <w:sz w:val="16"/>
          <w:vertAlign w:val="superscript"/>
          <w:lang w:val="en-US"/>
        </w:rPr>
      </w:pPr>
      <w:r>
        <w:pict>
          <v:line strokeweight="0.95pt" strokecolor="#000000" from="108pt,596.15pt" to="252.05pt,596.15pt" style="position:absolute;mso-position-horizontal-relative:page;mso-position-vertical-relative:page;">
            <v:stroke dashstyle="solid"/>
          </v:line>
        </w:pict>
      </w:r>
      <w:r>
        <w:rPr>
          <w:rFonts w:ascii="Arial" w:hAnsi="Arial" w:eastAsia="Arial"/>
          <w:strike w:val="false"/>
          <w:color w:val="000000"/>
          <w:spacing w:val="-3"/>
          <w:w w:val="100"/>
          <w:sz w:val="16"/>
          <w:vertAlign w:val="superscript"/>
          <w:lang w:val="en-US"/>
        </w:rPr>
        <w:t xml:space="preserve">1</w:t>
      </w:r>
      <w:r>
        <w:rPr>
          <w:rFonts w:ascii="Arial" w:hAnsi="Arial" w:eastAsia="Arial"/>
          <w:strike w:val="false"/>
          <w:color w:val="000000"/>
          <w:spacing w:val="-3"/>
          <w:w w:val="100"/>
          <w:sz w:val="24"/>
          <w:vertAlign w:val="baseline"/>
          <w:lang w:val="en-US"/>
        </w:rPr>
        <w:t xml:space="preserve"> In </w:t>
      </w:r>
      <w:r>
        <w:rPr>
          <w:rFonts w:ascii="Arial" w:hAnsi="Arial" w:eastAsia="Arial"/>
          <w:i w:val="true"/>
          <w:strike w:val="false"/>
          <w:color w:val="000000"/>
          <w:spacing w:val="-3"/>
          <w:w w:val="100"/>
          <w:sz w:val="24"/>
          <w:vertAlign w:val="baseline"/>
          <w:lang w:val="en-US"/>
        </w:rPr>
        <w:t xml:space="preserve">People v Golb, </w:t>
      </w:r>
      <w:r>
        <w:rPr>
          <w:rFonts w:ascii="Arial" w:hAnsi="Arial" w:eastAsia="Arial"/>
          <w:strike w:val="false"/>
          <w:color w:val="000000"/>
          <w:spacing w:val="-3"/>
          <w:w w:val="100"/>
          <w:sz w:val="24"/>
          <w:vertAlign w:val="baseline"/>
          <w:lang w:val="en-US"/>
        </w:rPr>
        <w:t xml:space="preserve">23 NY3d 455 (2014), the Court of Appeals held that the Penal Law former § 240.30 (1) was vague and overbroad and, therefore, unconstitutional. In response to that holding, the legislature passed the instant version of Penal Law § 240.30 (1), effective July 23, 2014.</w:t>
      </w:r>
    </w:p>
    <w:p>
      <w:pPr>
        <w:pageBreakBefore w:val="false"/>
        <w:spacing w:before="242" w:after="0" w:line="289" w:lineRule="exact"/>
        <w:ind w:right="0" w:left="0" w:firstLine="288"/>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2</w:t>
      </w:r>
      <w:r>
        <w:rPr>
          <w:rFonts w:ascii="Arial" w:hAnsi="Arial" w:eastAsia="Arial"/>
          <w:strike w:val="false"/>
          <w:color w:val="000000"/>
          <w:spacing w:val="0"/>
          <w:w w:val="100"/>
          <w:sz w:val="24"/>
          <w:vertAlign w:val="baseline"/>
          <w:lang w:val="en-US"/>
        </w:rPr>
        <w:t xml:space="preserve"> At this point, the statutory definition adds “as defined in subdivision one of section 530.11 of the criminal procedure law.” That definition is recited in the definition section of this charge.</w:t>
      </w:r>
    </w:p>
    <w:p>
      <w:pPr>
        <w:sectPr>
          <w:type w:val="nextPage"/>
          <w:pgSz w:w="12240" w:h="15840" w:orient="portrait"/>
          <w:pgMar w:bottom="1024" w:top="1080" w:right="2140" w:left="2160" w:header="720" w:footer="0"/>
          <w:titlePg w:val="false"/>
          <w:textDirection w:val="lrTb"/>
        </w:sectPr>
      </w:pPr>
    </w:p>
    <w:p>
      <w:pPr>
        <w:pageBreakBefore w:val="false"/>
        <w:spacing w:before="0"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1.2pt" strokecolor="#000000" from="108pt,587.3pt" to="252.05pt,587.3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Thus, a person acts with intent to harass another person when his or her conscious objective or purpose is to do so.</w:t>
      </w:r>
    </w:p>
    <w:p>
      <w:pPr>
        <w:pageBreakBefore w:val="false"/>
        <w:spacing w:before="1" w:after="0" w:line="648"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[MEMBERS OF THE SAME FAMILY OR HOUSEHOLD are: </w:t>
      </w: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0" w:after="0" w:line="647" w:lineRule="exact"/>
        <w:ind w:right="1008" w:left="144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persons related by consanguinity or affinity</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28"/>
          <w:vertAlign w:val="baseline"/>
          <w:lang w:val="en-US"/>
        </w:rPr>
        <w:t xml:space="preserve">; persons legally married to one another;</w:t>
      </w:r>
    </w:p>
    <w:p>
      <w:pPr>
        <w:pageBreakBefore w:val="false"/>
        <w:spacing w:before="327" w:after="0" w:line="321"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persons formerly married to one another regardless of whether they still reside in the same household;</w:t>
      </w:r>
    </w:p>
    <w:p>
      <w:pPr>
        <w:pageBreakBefore w:val="false"/>
        <w:spacing w:before="324"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persons who have a child in common, regardless of whether such persons have been married or have lived together at any time;</w:t>
      </w:r>
    </w:p>
    <w:p>
      <w:pPr>
        <w:pageBreakBefore w:val="false"/>
        <w:spacing w:before="327" w:after="268"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persons who are not related by consanguinity or affinity and who are or have been in an intimate relationship regardless of whether such persons have lived together at any time. Factors you may consider in determining whether a relationship is an "intimate relationship" include but are not limited to: the nature or type of relationship, regardless of whether the relationship is sexual in nature; the frequency of interaction between the persons; and the duration of the relationship. Neither a casual</w:t>
      </w:r>
    </w:p>
    <w:p>
      <w:pPr>
        <w:pageBreakBefore w:val="false"/>
        <w:spacing w:before="294"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15.05 (1).</w:t>
      </w:r>
    </w:p>
    <w:p>
      <w:pPr>
        <w:pageBreakBefore w:val="false"/>
        <w:spacing w:before="258" w:after="0" w:line="276"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There is no statutory definition of “consanguinity” or “affinity.” A dictionary definition of “consanguinity” is “relationship by descent from a common ancestor” (Random House Webster’s Unabridged Dictionary [1999]). That dictionary’s definition of “affinity” is “relationship by marriage or by ties other than those of blood (distinguished from consanguinity).”</w:t>
      </w:r>
    </w:p>
    <w:p>
      <w:pPr>
        <w:sectPr>
          <w:footerReference w:type="default" r:id="fId0"/>
          <w:type w:val="nextPage"/>
          <w:pgSz w:w="12240" w:h="15840" w:orient="portrait"/>
          <w:pgMar w:bottom="1267" w:top="1080" w:right="2140" w:left="2160" w:header="720" w:footer="1478"/>
          <w:titlePg w:val="false"/>
          <w:textDirection w:val="lrTb"/>
        </w:sectPr>
      </w:pPr>
    </w:p>
    <w:p>
      <w:pPr>
        <w:pageBreakBefore w:val="false"/>
        <w:spacing w:before="0"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pict>
          <v:line strokeweight="1.2pt" strokecolor="#000000" from="107.3pt,655.7pt" to="252.05pt,655.7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acquaintance nor ordinary fraternization between two individuals in business or social contexts shall be deemed to constitute an "intimate relationship.”</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w:t>
      </w:r>
    </w:p>
    <w:p>
      <w:pPr>
        <w:pageBreakBefore w:val="false"/>
        <w:spacing w:before="324" w:after="0" w:line="325" w:lineRule="exact"/>
        <w:ind w:right="0" w:left="0" w:firstLine="792"/>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648"/>
          <w:tab w:val="left" w:pos="1440"/>
        </w:tabs>
        <w:spacing w:before="324" w:after="0" w:line="325"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p>
    <w:p>
      <w:pPr>
        <w:pageBreakBefore w:val="false"/>
        <w:spacing w:before="327" w:after="0" w:line="317" w:lineRule="exact"/>
        <w:ind w:right="0" w:left="216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14" w:after="0" w:line="325"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communicated, anonymously or otherwise, [</w:t>
      </w:r>
      <w:r>
        <w:rPr>
          <w:rFonts w:ascii="Arial" w:hAnsi="Arial" w:eastAsia="Arial"/>
          <w:i w:val="true"/>
          <w:strike w:val="false"/>
          <w:color w:val="000000"/>
          <w:spacing w:val="0"/>
          <w:w w:val="100"/>
          <w:sz w:val="28"/>
          <w:vertAlign w:val="baseline"/>
          <w:lang w:val="en-US"/>
        </w:rPr>
        <w:t xml:space="preserve">Select applicable means: </w:t>
      </w:r>
      <w:r>
        <w:rPr>
          <w:rFonts w:ascii="Arial" w:hAnsi="Arial" w:eastAsia="Arial"/>
          <w:strike w:val="false"/>
          <w:color w:val="000000"/>
          <w:spacing w:val="0"/>
          <w:w w:val="100"/>
          <w:sz w:val="28"/>
          <w:vertAlign w:val="baseline"/>
          <w:lang w:val="en-US"/>
        </w:rPr>
        <w:t xml:space="preserve">by telephone, by computer or any other electronic means, or by mail, or by transmitting or delivering any other form of communication] ; </w:t>
      </w:r>
      <w:r>
        <w:rPr>
          <w:rFonts w:ascii="Arial" w:hAnsi="Arial" w:eastAsia="Arial"/>
          <w:i w:val="true"/>
          <w:strike w:val="false"/>
          <w:color w:val="000000"/>
          <w:spacing w:val="0"/>
          <w:w w:val="100"/>
          <w:sz w:val="28"/>
          <w:vertAlign w:val="baseline"/>
          <w:lang w:val="en-US"/>
        </w:rPr>
        <w:t xml:space="preserve">or</w:t>
      </w:r>
    </w:p>
    <w:p>
      <w:pPr>
        <w:pageBreakBefore w:val="false"/>
        <w:spacing w:before="322" w:after="0" w:line="325" w:lineRule="exact"/>
        <w:ind w:right="0" w:left="216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caused a communication to be initiated anonymously or otherwise, [</w:t>
      </w:r>
      <w:r>
        <w:rPr>
          <w:rFonts w:ascii="Arial" w:hAnsi="Arial" w:eastAsia="Arial"/>
          <w:i w:val="true"/>
          <w:strike w:val="false"/>
          <w:color w:val="000000"/>
          <w:spacing w:val="-3"/>
          <w:w w:val="100"/>
          <w:sz w:val="28"/>
          <w:vertAlign w:val="baseline"/>
          <w:lang w:val="en-US"/>
        </w:rPr>
        <w:t xml:space="preserve">Select applicable means: </w:t>
      </w:r>
      <w:r>
        <w:rPr>
          <w:rFonts w:ascii="Arial" w:hAnsi="Arial" w:eastAsia="Arial"/>
          <w:strike w:val="false"/>
          <w:color w:val="000000"/>
          <w:spacing w:val="-3"/>
          <w:w w:val="100"/>
          <w:sz w:val="28"/>
          <w:vertAlign w:val="baseline"/>
          <w:lang w:val="en-US"/>
        </w:rPr>
        <w:t xml:space="preserve">by telephone, by computer or any other electronic means, or by mail, or by transmitting</w:t>
      </w:r>
    </w:p>
    <w:p>
      <w:pPr>
        <w:pageBreakBefore w:val="false"/>
        <w:tabs>
          <w:tab w:val="right" w:leader="none" w:pos="7920"/>
        </w:tabs>
        <w:spacing w:before="0" w:after="0" w:line="324"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delivering any other form	</w:t>
      </w:r>
      <w:r>
        <w:rPr>
          <w:rFonts w:ascii="Arial" w:hAnsi="Arial" w:eastAsia="Arial"/>
          <w:strike w:val="false"/>
          <w:color w:val="000000"/>
          <w:spacing w:val="0"/>
          <w:w w:val="100"/>
          <w:sz w:val="28"/>
          <w:vertAlign w:val="baseline"/>
          <w:lang w:val="en-US"/>
        </w:rPr>
        <w:t xml:space="preserve">of</w:t>
        <w:br/>
      </w:r>
      <w:r>
        <w:rPr>
          <w:rFonts w:ascii="Arial" w:hAnsi="Arial" w:eastAsia="Arial"/>
          <w:strike w:val="false"/>
          <w:color w:val="000000"/>
          <w:spacing w:val="0"/>
          <w:w w:val="100"/>
          <w:sz w:val="28"/>
          <w:vertAlign w:val="baseline"/>
          <w:lang w:val="en-US"/>
        </w:rPr>
        <w:t xml:space="preserve">communication], that communicated</w:t>
      </w:r>
    </w:p>
    <w:p>
      <w:pPr>
        <w:pageBreakBefore w:val="false"/>
        <w:spacing w:before="324"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threat to cause physical harm to, or unlawful harm to the property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[or a member of</w:t>
      </w:r>
    </w:p>
    <w:p>
      <w:pPr>
        <w:pageBreakBefore w:val="false"/>
        <w:spacing w:before="1" w:after="0" w:line="325" w:lineRule="exact"/>
        <w:ind w:right="0" w:left="0" w:firstLine="0"/>
        <w:jc w:val="center"/>
        <w:textAlignment w:val="baseline"/>
        <w:rPr>
          <w:rFonts w:ascii="Arial" w:hAnsi="Arial" w:eastAsia="Arial"/>
          <w:strike w:val="false"/>
          <w:color w:val="000000"/>
          <w:spacing w:val="0"/>
          <w:w w:val="100"/>
          <w:sz w:val="28"/>
          <w:u w:val="single"/>
          <w:vertAlign w:val="baseline"/>
          <w:lang w:val="en-US"/>
        </w:rPr>
      </w:pP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)’s</w:t>
      </w:r>
      <w:r>
        <w:rPr>
          <w:rFonts w:ascii="Arial" w:hAnsi="Arial" w:eastAsia="Arial"/>
          <w:strike w:val="false"/>
          <w:color w:val="000000"/>
          <w:spacing w:val="0"/>
          <w:w w:val="100"/>
          <w:sz w:val="28"/>
          <w:vertAlign w:val="baseline"/>
          <w:lang w:val="en-US"/>
        </w:rPr>
        <w:t xml:space="preserve"> same family or household]; and</w:t>
      </w:r>
    </w:p>
    <w:p>
      <w:pPr>
        <w:pageBreakBefore w:val="false"/>
        <w:numPr>
          <w:ilvl w:val="0"/>
          <w:numId w:val="1"/>
        </w:numPr>
        <w:tabs>
          <w:tab w:val="clear" w:pos="648"/>
          <w:tab w:val="left" w:pos="1440"/>
        </w:tabs>
        <w:spacing w:before="319" w:after="629" w:line="325"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knew or reasonably should have known that such communication would cause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to reasonably fear harm to his/her physical safety or property, [or to the physical safety or</w:t>
      </w:r>
    </w:p>
    <w:p>
      <w:pPr>
        <w:pageBreakBefore w:val="false"/>
        <w:spacing w:before="273" w:after="0" w:line="282" w:lineRule="exact"/>
        <w:ind w:right="0" w:left="0" w:firstLine="360"/>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5</w:t>
      </w:r>
      <w:r>
        <w:rPr>
          <w:rFonts w:ascii="Arial" w:hAnsi="Arial" w:eastAsia="Arial"/>
          <w:strike w:val="false"/>
          <w:color w:val="000000"/>
          <w:spacing w:val="0"/>
          <w:w w:val="100"/>
          <w:sz w:val="24"/>
          <w:vertAlign w:val="baseline"/>
          <w:lang w:val="en-US"/>
        </w:rPr>
        <w:t xml:space="preserve"> CPL 530.11 (1) (e) (</w:t>
      </w:r>
      <w:r>
        <w:rPr>
          <w:rFonts w:ascii="Arial" w:hAnsi="Arial" w:eastAsia="Arial"/>
          <w:i w:val="true"/>
          <w:strike w:val="false"/>
          <w:color w:val="000000"/>
          <w:spacing w:val="0"/>
          <w:w w:val="100"/>
          <w:sz w:val="24"/>
          <w:vertAlign w:val="baseline"/>
          <w:lang w:val="en-US"/>
        </w:rPr>
        <w:t xml:space="preserve">see also </w:t>
      </w:r>
      <w:r>
        <w:rPr>
          <w:rFonts w:ascii="Arial" w:hAnsi="Arial" w:eastAsia="Arial"/>
          <w:strike w:val="false"/>
          <w:color w:val="000000"/>
          <w:spacing w:val="0"/>
          <w:w w:val="100"/>
          <w:sz w:val="24"/>
          <w:vertAlign w:val="baseline"/>
          <w:lang w:val="en-US"/>
        </w:rPr>
        <w:t xml:space="preserve">Family Court Act § 812 (1); </w:t>
      </w:r>
      <w:r>
        <w:rPr>
          <w:rFonts w:ascii="Arial" w:hAnsi="Arial" w:eastAsia="Arial"/>
          <w:i w:val="true"/>
          <w:strike w:val="false"/>
          <w:color w:val="000000"/>
          <w:spacing w:val="0"/>
          <w:w w:val="100"/>
          <w:sz w:val="24"/>
          <w:vertAlign w:val="baseline"/>
          <w:lang w:val="en-US"/>
        </w:rPr>
        <w:t xml:space="preserve">Jose M. v Angel</w:t>
      </w:r>
      <w:r>
        <w:rPr>
          <w:rFonts w:ascii="Arial" w:hAnsi="Arial" w:eastAsia="Arial"/>
          <w:strike w:val="false"/>
          <w:color w:val="000000"/>
          <w:spacing w:val="0"/>
          <w:w w:val="100"/>
          <w:sz w:val="24"/>
          <w:vertAlign w:val="baseline"/>
          <w:lang w:val="en-US"/>
        </w:rPr>
        <w:t xml:space="preserve">, 99 AD3d 243 (2d Dept 2012).</w:t>
      </w:r>
    </w:p>
    <w:p>
      <w:pPr>
        <w:sectPr>
          <w:type w:val="nextPage"/>
          <w:pgSz w:w="12240" w:h="15840" w:orient="portrait"/>
          <w:pgMar w:bottom="1267" w:top="1440" w:right="2136" w:left="2146" w:header="720" w:footer="1473"/>
          <w:titlePg w:val="false"/>
          <w:textDirection w:val="lrTb"/>
        </w:sectPr>
      </w:pPr>
    </w:p>
    <w:p>
      <w:pPr>
        <w:pageBreakBefore w:val="false"/>
        <w:spacing w:before="20" w:after="0" w:line="32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property of a member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)’s</w:t>
      </w:r>
      <w:r>
        <w:rPr>
          <w:rFonts w:ascii="Arial" w:hAnsi="Arial" w:eastAsia="Arial"/>
          <w:strike w:val="false"/>
          <w:color w:val="000000"/>
          <w:spacing w:val="0"/>
          <w:w w:val="100"/>
          <w:sz w:val="28"/>
          <w:vertAlign w:val="baseline"/>
          <w:lang w:val="en-US"/>
        </w:rPr>
        <w:t xml:space="preserve"> same family or household]; and</w:t>
      </w:r>
    </w:p>
    <w:p>
      <w:pPr>
        <w:pageBreakBefore w:val="false"/>
        <w:tabs>
          <w:tab w:val="right" w:leader="none" w:pos="7920"/>
        </w:tabs>
        <w:spacing w:before="329" w:after="0" w:line="319"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defendant did so with intent to harass</w:t>
      </w:r>
    </w:p>
    <w:p>
      <w:pPr>
        <w:pageBreakBefore w:val="false"/>
        <w:spacing w:before="7" w:after="0" w:line="322" w:lineRule="exact"/>
        <w:ind w:right="0" w:left="1440" w:firstLine="0"/>
        <w:jc w:val="left"/>
        <w:textAlignment w:val="baseline"/>
        <w:rPr>
          <w:rFonts w:ascii="Arial" w:hAnsi="Arial" w:eastAsia="Arial"/>
          <w:strike w:val="false"/>
          <w:color w:val="000000"/>
          <w:spacing w:val="-2"/>
          <w:w w:val="100"/>
          <w:sz w:val="28"/>
          <w:u w:val="single"/>
          <w:vertAlign w:val="baseline"/>
          <w:lang w:val="en-US"/>
        </w:rPr>
      </w:pP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specify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w:t>
      </w:r>
    </w:p>
    <w:p>
      <w:pPr>
        <w:pageBreakBefore w:val="false"/>
        <w:spacing w:before="325"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268" w:top="1420" w:right="2131" w:left="2151" w:header="720" w:footer="147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0"/>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