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1"/>
          <w:w w:val="100"/>
          <w:sz w:val="28"/>
          <w:vertAlign w:val="baseline"/>
          <w:lang w:val="en-US"/>
        </w:rPr>
      </w:pPr>
      <w:r>
        <w:rPr>
          <w:rFonts w:ascii="Arial" w:hAnsi="Arial" w:eastAsia="Arial"/>
          <w:b w:val="true"/>
          <w:strike w:val="false"/>
          <w:color w:val="000000"/>
          <w:spacing w:val="-1"/>
          <w:w w:val="100"/>
          <w:sz w:val="28"/>
          <w:vertAlign w:val="baseline"/>
          <w:lang w:val="en-US"/>
        </w:rPr>
        <w:t xml:space="preserve">DISSEMINATING INDECENT MATERIAL TO MINORS IN THE</w:t>
        <w:br/>
      </w:r>
      <w:r>
        <w:rPr>
          <w:rFonts w:ascii="Arial" w:hAnsi="Arial" w:eastAsia="Arial"/>
          <w:b w:val="true"/>
          <w:strike w:val="false"/>
          <w:color w:val="000000"/>
          <w:spacing w:val="-1"/>
          <w:w w:val="100"/>
          <w:sz w:val="28"/>
          <w:vertAlign w:val="baseline"/>
          <w:lang w:val="en-US"/>
        </w:rPr>
        <w:t xml:space="preserve">SECOND DEGREE</w:t>
        <w:br/>
      </w:r>
      <w:r>
        <w:rPr>
          <w:rFonts w:ascii="Arial" w:hAnsi="Arial" w:eastAsia="Arial"/>
          <w:b w:val="true"/>
          <w:strike w:val="false"/>
          <w:color w:val="000000"/>
          <w:spacing w:val="-1"/>
          <w:w w:val="100"/>
          <w:sz w:val="28"/>
          <w:vertAlign w:val="baseline"/>
          <w:lang w:val="en-US"/>
        </w:rPr>
        <w:t xml:space="preserve">Penal Law § 235.21(1)(b)</w:t>
        <w:br/>
      </w:r>
      <w:r>
        <w:rPr>
          <w:rFonts w:ascii="Arial" w:hAnsi="Arial" w:eastAsia="Arial"/>
          <w:b w:val="true"/>
          <w:strike w:val="false"/>
          <w:color w:val="000000"/>
          <w:spacing w:val="-1"/>
          <w:w w:val="100"/>
          <w:sz w:val="28"/>
          <w:vertAlign w:val="baseline"/>
          <w:lang w:val="en-US"/>
        </w:rPr>
        <w:t xml:space="preserve">(Committed on or after Nov. 1, 1996)</w:t>
      </w:r>
    </w:p>
    <w:p>
      <w:pPr>
        <w:pageBreakBefore w:val="false"/>
        <w:spacing w:before="332"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Disseminating Indecent Material to Minors in the Second Degree.</w:t>
      </w:r>
    </w:p>
    <w:p>
      <w:pPr>
        <w:pageBreakBefore w:val="false"/>
        <w:spacing w:before="326" w:after="0" w:line="323"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Under our law, a person is guilty of Disseminating Indecent Material to Minors in the Second Degree when, with knowledge of its character and content, he or she sells or loans to a minor for monetary consideration any book, pamphlet, magazine, printed matter however reproduced, or sound recording which contains</w:t>
      </w:r>
      <w:r>
        <w:rPr>
          <w:rFonts w:ascii="Arial" w:hAnsi="Arial" w:eastAsia="Arial"/>
          <w:strike w:val="false"/>
          <w:color w:val="000000"/>
          <w:spacing w:val="-4"/>
          <w:w w:val="100"/>
          <w:sz w:val="28"/>
          <w:vertAlign w:val="superscript"/>
          <w:lang w:val="en-US"/>
        </w:rPr>
        <w:t xml:space="preserve">1</w:t>
      </w:r>
      <w:r>
        <w:rPr>
          <w:rFonts w:ascii="Arial" w:hAnsi="Arial" w:eastAsia="Arial"/>
          <w:strike w:val="false"/>
          <w:color w:val="000000"/>
          <w:spacing w:val="-4"/>
          <w:w w:val="100"/>
          <w:sz w:val="17"/>
          <w:vertAlign w:val="baseline"/>
          <w:lang w:val="en-US"/>
        </w:rPr>
        <w:t xml:space="preserve">
</w:t>
      </w:r>
    </w:p>
    <w:p>
      <w:pPr>
        <w:pageBreakBefore w:val="false"/>
        <w:spacing w:before="335" w:after="0" w:line="319" w:lineRule="exact"/>
        <w:ind w:right="0" w:left="1440" w:firstLine="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alternative(s):</w:t>
      </w:r>
    </w:p>
    <w:p>
      <w:pPr>
        <w:pageBreakBefore w:val="false"/>
        <w:spacing w:before="0" w:after="0" w:line="322"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any picture, photograph, drawing, sculpture, motion picture film, or similar visual representation or image of a person or portion of the human body which depicts nudity, sexual conduct or sado-masochistic abuse, [or]</w:t>
      </w:r>
    </w:p>
    <w:p>
      <w:pPr>
        <w:pageBreakBefore w:val="false"/>
        <w:spacing w:before="324" w:after="0" w:line="324" w:lineRule="exact"/>
        <w:ind w:right="0" w:left="144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explicit and detailed verbal descriptions or narrative accounts of sexual excitement, sexual conduct or sado-masochistic abuse</w:t>
      </w:r>
    </w:p>
    <w:p>
      <w:pPr>
        <w:pageBreakBefore w:val="false"/>
        <w:spacing w:before="332" w:after="0" w:line="316"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and which, taken as a whole, is harmful to minors.</w:t>
      </w:r>
    </w:p>
    <w:p>
      <w:pPr>
        <w:pageBreakBefore w:val="false"/>
        <w:spacing w:before="326"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34" w:after="0" w:line="316" w:lineRule="exact"/>
        <w:ind w:right="0" w:left="720" w:firstLine="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MINOR means any person less than seventeen years old.</w:t>
      </w:r>
      <w:r>
        <w:rPr>
          <w:rFonts w:ascii="Arial" w:hAnsi="Arial" w:eastAsia="Arial"/>
          <w:strike w:val="false"/>
          <w:color w:val="000000"/>
          <w:spacing w:val="-5"/>
          <w:w w:val="100"/>
          <w:sz w:val="28"/>
          <w:vertAlign w:val="superscript"/>
          <w:lang w:val="en-US"/>
        </w:rPr>
        <w:t xml:space="preserve">2</w:t>
      </w:r>
      <w:r>
        <w:rPr>
          <w:rFonts w:ascii="Arial" w:hAnsi="Arial" w:eastAsia="Arial"/>
          <w:strike w:val="false"/>
          <w:color w:val="000000"/>
          <w:spacing w:val="-5"/>
          <w:w w:val="100"/>
          <w:sz w:val="17"/>
          <w:vertAlign w:val="baseline"/>
          <w:lang w:val="en-US"/>
        </w:rPr>
        <w:t xml:space="preserve">
</w:t>
      </w:r>
    </w:p>
    <w:p>
      <w:pPr>
        <w:pageBreakBefore w:val="false"/>
        <w:spacing w:before="330" w:after="511"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NUDITY means the showing of the human male or female genitals, pubic area or buttocks with less than a full opaque</w:t>
      </w:r>
    </w:p>
    <w:p>
      <w:pPr>
        <w:pageBreakBefore w:val="false"/>
        <w:spacing w:before="259" w:after="0" w:line="296" w:lineRule="exact"/>
        <w:ind w:right="0" w:left="0" w:firstLine="720"/>
        <w:jc w:val="both"/>
        <w:textAlignment w:val="baseline"/>
        <w:rPr>
          <w:rFonts w:ascii="Arial" w:hAnsi="Arial" w:eastAsia="Arial"/>
          <w:strike w:val="false"/>
          <w:color w:val="000000"/>
          <w:spacing w:val="0"/>
          <w:w w:val="100"/>
          <w:sz w:val="16"/>
          <w:vertAlign w:val="superscript"/>
          <w:lang w:val="en-US"/>
        </w:rPr>
      </w:pPr>
      <w:r>
        <w:pict>
          <v:line strokeweight="0.95pt" strokecolor="#000000" from="108pt,650.9pt" to="252.05pt,650.9pt" style="position:absolute;mso-position-horizontal-relative:page;mso-position-vertical-relative:page;">
            <v:stroke dashstyle="solid"/>
          </v:line>
        </w:pict>
      </w:r>
      <w:r>
        <w:rPr>
          <w:rFonts w:ascii="Arial" w:hAnsi="Arial" w:eastAsia="Arial"/>
          <w:strike w:val="false"/>
          <w:color w:val="000000"/>
          <w:spacing w:val="0"/>
          <w:w w:val="100"/>
          <w:sz w:val="16"/>
          <w:vertAlign w:val="superscript"/>
          <w:lang w:val="en-US"/>
        </w:rPr>
        <w:t xml:space="preserve">1</w:t>
      </w:r>
      <w:r>
        <w:rPr>
          <w:rFonts w:ascii="Arial" w:hAnsi="Arial" w:eastAsia="Arial"/>
          <w:strike w:val="false"/>
          <w:color w:val="000000"/>
          <w:spacing w:val="0"/>
          <w:w w:val="100"/>
          <w:sz w:val="26"/>
          <w:vertAlign w:val="baseline"/>
          <w:lang w:val="en-US"/>
        </w:rPr>
        <w:t xml:space="preserve"> As this point, the statute states: “any matter enumerated in paragraph (a).” This charge incorporates that matter.</w:t>
      </w:r>
    </w:p>
    <w:p>
      <w:pPr>
        <w:pageBreakBefore w:val="false"/>
        <w:spacing w:before="241" w:after="0" w:line="296" w:lineRule="exact"/>
        <w:ind w:right="0" w:left="720" w:firstLine="0"/>
        <w:jc w:val="left"/>
        <w:textAlignment w:val="baseline"/>
        <w:rPr>
          <w:rFonts w:ascii="Arial" w:hAnsi="Arial" w:eastAsia="Arial"/>
          <w:strike w:val="false"/>
          <w:color w:val="000000"/>
          <w:spacing w:val="-1"/>
          <w:w w:val="100"/>
          <w:sz w:val="16"/>
          <w:vertAlign w:val="superscript"/>
          <w:lang w:val="en-US"/>
        </w:rPr>
      </w:pPr>
      <w:r>
        <w:rPr>
          <w:rFonts w:ascii="Arial" w:hAnsi="Arial" w:eastAsia="Arial"/>
          <w:strike w:val="false"/>
          <w:color w:val="000000"/>
          <w:spacing w:val="-1"/>
          <w:w w:val="100"/>
          <w:sz w:val="16"/>
          <w:vertAlign w:val="superscript"/>
          <w:lang w:val="en-US"/>
        </w:rPr>
        <w:t xml:space="preserve">2</w:t>
      </w:r>
      <w:r>
        <w:rPr>
          <w:rFonts w:ascii="Arial" w:hAnsi="Arial" w:eastAsia="Arial"/>
          <w:strike w:val="false"/>
          <w:color w:val="000000"/>
          <w:spacing w:val="-1"/>
          <w:w w:val="100"/>
          <w:sz w:val="26"/>
          <w:vertAlign w:val="baseline"/>
          <w:lang w:val="en-US"/>
        </w:rPr>
        <w:t xml:space="preserve"> Penal Law § 235.20(1).</w:t>
      </w:r>
    </w:p>
    <w:p>
      <w:pPr>
        <w:sectPr>
          <w:type w:val="nextPage"/>
          <w:pgSz w:w="12240" w:h="15840" w:orient="portrait"/>
          <w:pgMar w:bottom="1004" w:top="1440" w:right="2140" w:left="2160" w:header="720" w:footer="0"/>
          <w:titlePg w:val="false"/>
          <w:textDirection w:val="lrTb"/>
        </w:sectPr>
      </w:pPr>
    </w:p>
    <w:p>
      <w:pPr>
        <w:pageBreakBefore w:val="false"/>
        <w:spacing w:before="0" w:after="0" w:line="324"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covering, or the showing of the female breast with less than a fully opaque covering of any portion thereof below the top of the nipple, or the depiction of covered male genitals in a discernably turgid state. </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318"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SEXUAL CONDUCT means acts of masturbation, homosexuality, sexual intercourse, or physical contact with a person’s clothed or unclothed genitals, pubic area, buttocks or, if such person be a female, breast.</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p>
    <w:p>
      <w:pPr>
        <w:pageBreakBefore w:val="false"/>
        <w:spacing w:before="328"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[SEXUAL EXCITEMENT means the condition of human male or female genitals when in a state of sexual stimulation or arousal.</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28"/>
          <w:vertAlign w:val="baseline"/>
          <w:lang w:val="en-US"/>
        </w:rPr>
        <w:t xml:space="preserve">]</w:t>
      </w:r>
    </w:p>
    <w:p>
      <w:pPr>
        <w:pageBreakBefore w:val="false"/>
        <w:spacing w:before="326"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SADO-MASOCHISTIC ABUSE means flagellation or torture by or upon a person clad in undergarments, a mask or bizarre costume, or the condition of being fettered, bound or otherwise physically restrained on the part of one so clothed.</w:t>
      </w:r>
      <w:r>
        <w:rPr>
          <w:rFonts w:ascii="Arial" w:hAnsi="Arial" w:eastAsia="Arial"/>
          <w:strike w:val="false"/>
          <w:color w:val="000000"/>
          <w:spacing w:val="0"/>
          <w:w w:val="100"/>
          <w:sz w:val="28"/>
          <w:vertAlign w:val="superscript"/>
          <w:lang w:val="en-US"/>
        </w:rPr>
        <w:t xml:space="preserve">6</w:t>
      </w:r>
      <w:r>
        <w:rPr>
          <w:rFonts w:ascii="Arial" w:hAnsi="Arial" w:eastAsia="Arial"/>
          <w:strike w:val="false"/>
          <w:color w:val="000000"/>
          <w:spacing w:val="0"/>
          <w:w w:val="100"/>
          <w:sz w:val="17"/>
          <w:vertAlign w:val="baseline"/>
          <w:lang w:val="en-US"/>
        </w:rPr>
        <w:t xml:space="preserve">
</w:t>
      </w:r>
    </w:p>
    <w:p>
      <w:pPr>
        <w:pageBreakBefore w:val="false"/>
        <w:spacing w:before="326" w:after="0" w:line="324"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HARMFUL TO MINORS means that quality of any description or representation, in whatever form, of nudity, sexual conduct, sexual excitement, or sado-masochistic abuse, when it:</w:t>
      </w:r>
    </w:p>
    <w:p>
      <w:pPr>
        <w:pageBreakBefore w:val="false"/>
        <w:numPr>
          <w:ilvl w:val="0"/>
          <w:numId w:val="1"/>
        </w:numPr>
        <w:tabs>
          <w:tab w:val="clear" w:pos="432"/>
          <w:tab w:val="left" w:pos="1152"/>
        </w:tabs>
        <w:spacing w:before="0"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considered as a whole, appeals to the prurient interest in sex of minors; and</w:t>
      </w:r>
    </w:p>
    <w:p>
      <w:pPr>
        <w:pageBreakBefore w:val="false"/>
        <w:numPr>
          <w:ilvl w:val="0"/>
          <w:numId w:val="1"/>
        </w:numPr>
        <w:tabs>
          <w:tab w:val="clear" w:pos="432"/>
          <w:tab w:val="left" w:pos="1152"/>
        </w:tabs>
        <w:spacing w:before="2"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is patently offensive to prevailing standards in the adult community as a whole with respect to what is suitable material for minors; and</w:t>
      </w:r>
    </w:p>
    <w:p>
      <w:pPr>
        <w:pageBreakBefore w:val="false"/>
        <w:numPr>
          <w:ilvl w:val="0"/>
          <w:numId w:val="1"/>
        </w:numPr>
        <w:tabs>
          <w:tab w:val="clear" w:pos="432"/>
          <w:tab w:val="left" w:pos="1152"/>
        </w:tabs>
        <w:spacing w:before="5" w:after="329" w:line="31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considered as a whole, lacks serious literary, artistic, political and scientific value for minors.</w:t>
      </w:r>
      <w:r>
        <w:rPr>
          <w:rFonts w:ascii="Arial" w:hAnsi="Arial" w:eastAsia="Arial"/>
          <w:strike w:val="false"/>
          <w:color w:val="000000"/>
          <w:spacing w:val="0"/>
          <w:w w:val="100"/>
          <w:sz w:val="28"/>
          <w:vertAlign w:val="superscript"/>
          <w:lang w:val="en-US"/>
        </w:rPr>
        <w:t xml:space="preserve">7</w:t>
      </w:r>
      <w:r>
        <w:rPr>
          <w:rFonts w:ascii="Arial" w:hAnsi="Arial" w:eastAsia="Arial"/>
          <w:strike w:val="false"/>
          <w:color w:val="000000"/>
          <w:spacing w:val="0"/>
          <w:w w:val="100"/>
          <w:sz w:val="17"/>
          <w:vertAlign w:val="baseline"/>
          <w:lang w:val="en-US"/>
        </w:rPr>
        <w:t xml:space="preserve">
</w:t>
      </w:r>
    </w:p>
    <w:p>
      <w:pPr>
        <w:pageBreakBefore w:val="false"/>
        <w:spacing w:before="252" w:after="0" w:line="299" w:lineRule="exact"/>
        <w:ind w:right="0" w:left="720" w:firstLine="0"/>
        <w:jc w:val="left"/>
        <w:textAlignment w:val="baseline"/>
        <w:rPr>
          <w:rFonts w:ascii="Arial" w:hAnsi="Arial" w:eastAsia="Arial"/>
          <w:strike w:val="false"/>
          <w:color w:val="000000"/>
          <w:spacing w:val="-1"/>
          <w:w w:val="100"/>
          <w:sz w:val="16"/>
          <w:vertAlign w:val="superscript"/>
          <w:lang w:val="en-US"/>
        </w:rPr>
      </w:pPr>
      <w:r>
        <w:pict>
          <v:line strokeweight="0.95pt" strokecolor="#000000" from="108pt,558.7pt" to="252.05pt,558.7pt" style="position:absolute;mso-position-horizontal-relative:page;mso-position-vertical-relative:page;">
            <v:stroke dashstyle="solid"/>
          </v:line>
        </w:pict>
      </w:r>
      <w:r>
        <w:rPr>
          <w:rFonts w:ascii="Arial" w:hAnsi="Arial" w:eastAsia="Arial"/>
          <w:strike w:val="false"/>
          <w:color w:val="000000"/>
          <w:spacing w:val="-1"/>
          <w:w w:val="100"/>
          <w:sz w:val="16"/>
          <w:vertAlign w:val="superscript"/>
          <w:lang w:val="en-US"/>
        </w:rPr>
        <w:t xml:space="preserve">3</w:t>
      </w:r>
      <w:r>
        <w:rPr>
          <w:rFonts w:ascii="Arial" w:hAnsi="Arial" w:eastAsia="Arial"/>
          <w:strike w:val="false"/>
          <w:color w:val="000000"/>
          <w:spacing w:val="-1"/>
          <w:w w:val="100"/>
          <w:sz w:val="26"/>
          <w:vertAlign w:val="baseline"/>
          <w:lang w:val="en-US"/>
        </w:rPr>
        <w:t xml:space="preserve"> Penal Law § 235.20(2).</w:t>
      </w:r>
    </w:p>
    <w:p>
      <w:pPr>
        <w:pageBreakBefore w:val="false"/>
        <w:spacing w:before="244" w:after="0" w:line="299" w:lineRule="exact"/>
        <w:ind w:right="0" w:left="720" w:firstLine="0"/>
        <w:jc w:val="left"/>
        <w:textAlignment w:val="baseline"/>
        <w:rPr>
          <w:rFonts w:ascii="Arial" w:hAnsi="Arial" w:eastAsia="Arial"/>
          <w:strike w:val="false"/>
          <w:color w:val="000000"/>
          <w:spacing w:val="-1"/>
          <w:w w:val="100"/>
          <w:sz w:val="16"/>
          <w:vertAlign w:val="superscript"/>
          <w:lang w:val="en-US"/>
        </w:rPr>
      </w:pPr>
      <w:r>
        <w:rPr>
          <w:rFonts w:ascii="Arial" w:hAnsi="Arial" w:eastAsia="Arial"/>
          <w:strike w:val="false"/>
          <w:color w:val="000000"/>
          <w:spacing w:val="-1"/>
          <w:w w:val="100"/>
          <w:sz w:val="16"/>
          <w:vertAlign w:val="superscript"/>
          <w:lang w:val="en-US"/>
        </w:rPr>
        <w:t xml:space="preserve">4</w:t>
      </w:r>
      <w:r>
        <w:rPr>
          <w:rFonts w:ascii="Arial" w:hAnsi="Arial" w:eastAsia="Arial"/>
          <w:strike w:val="false"/>
          <w:color w:val="000000"/>
          <w:spacing w:val="-1"/>
          <w:w w:val="100"/>
          <w:sz w:val="26"/>
          <w:vertAlign w:val="baseline"/>
          <w:lang w:val="en-US"/>
        </w:rPr>
        <w:t xml:space="preserve"> Penal Law § 235.20(3).</w:t>
      </w:r>
    </w:p>
    <w:p>
      <w:pPr>
        <w:pageBreakBefore w:val="false"/>
        <w:spacing w:before="238" w:after="0" w:line="299" w:lineRule="exact"/>
        <w:ind w:right="0" w:left="720" w:firstLine="0"/>
        <w:jc w:val="left"/>
        <w:textAlignment w:val="baseline"/>
        <w:rPr>
          <w:rFonts w:ascii="Arial" w:hAnsi="Arial" w:eastAsia="Arial"/>
          <w:strike w:val="false"/>
          <w:color w:val="000000"/>
          <w:spacing w:val="-1"/>
          <w:w w:val="100"/>
          <w:sz w:val="16"/>
          <w:vertAlign w:val="superscript"/>
          <w:lang w:val="en-US"/>
        </w:rPr>
      </w:pPr>
      <w:r>
        <w:rPr>
          <w:rFonts w:ascii="Arial" w:hAnsi="Arial" w:eastAsia="Arial"/>
          <w:strike w:val="false"/>
          <w:color w:val="000000"/>
          <w:spacing w:val="-1"/>
          <w:w w:val="100"/>
          <w:sz w:val="16"/>
          <w:vertAlign w:val="superscript"/>
          <w:lang w:val="en-US"/>
        </w:rPr>
        <w:t xml:space="preserve">5</w:t>
      </w:r>
      <w:r>
        <w:rPr>
          <w:rFonts w:ascii="Arial" w:hAnsi="Arial" w:eastAsia="Arial"/>
          <w:strike w:val="false"/>
          <w:color w:val="000000"/>
          <w:spacing w:val="-1"/>
          <w:w w:val="100"/>
          <w:sz w:val="26"/>
          <w:vertAlign w:val="baseline"/>
          <w:lang w:val="en-US"/>
        </w:rPr>
        <w:t xml:space="preserve"> Penal Law § 235.20(4).</w:t>
      </w:r>
    </w:p>
    <w:p>
      <w:pPr>
        <w:pageBreakBefore w:val="false"/>
        <w:spacing w:before="239" w:after="0" w:line="299" w:lineRule="exact"/>
        <w:ind w:right="0" w:left="720" w:firstLine="0"/>
        <w:jc w:val="left"/>
        <w:textAlignment w:val="baseline"/>
        <w:rPr>
          <w:rFonts w:ascii="Arial" w:hAnsi="Arial" w:eastAsia="Arial"/>
          <w:strike w:val="false"/>
          <w:color w:val="000000"/>
          <w:spacing w:val="-1"/>
          <w:w w:val="100"/>
          <w:sz w:val="16"/>
          <w:vertAlign w:val="superscript"/>
          <w:lang w:val="en-US"/>
        </w:rPr>
      </w:pPr>
      <w:r>
        <w:rPr>
          <w:rFonts w:ascii="Arial" w:hAnsi="Arial" w:eastAsia="Arial"/>
          <w:strike w:val="false"/>
          <w:color w:val="000000"/>
          <w:spacing w:val="-1"/>
          <w:w w:val="100"/>
          <w:sz w:val="16"/>
          <w:vertAlign w:val="superscript"/>
          <w:lang w:val="en-US"/>
        </w:rPr>
        <w:t xml:space="preserve">6</w:t>
      </w:r>
      <w:r>
        <w:rPr>
          <w:rFonts w:ascii="Arial" w:hAnsi="Arial" w:eastAsia="Arial"/>
          <w:strike w:val="false"/>
          <w:color w:val="000000"/>
          <w:spacing w:val="-1"/>
          <w:w w:val="100"/>
          <w:sz w:val="26"/>
          <w:vertAlign w:val="baseline"/>
          <w:lang w:val="en-US"/>
        </w:rPr>
        <w:t xml:space="preserve"> Penal Law § 235.20(5).</w:t>
      </w:r>
    </w:p>
    <w:p>
      <w:pPr>
        <w:pageBreakBefore w:val="false"/>
        <w:spacing w:before="239" w:after="0" w:line="299" w:lineRule="exact"/>
        <w:ind w:right="0" w:left="720" w:firstLine="0"/>
        <w:jc w:val="left"/>
        <w:textAlignment w:val="baseline"/>
        <w:rPr>
          <w:rFonts w:ascii="Arial" w:hAnsi="Arial" w:eastAsia="Arial"/>
          <w:strike w:val="false"/>
          <w:color w:val="000000"/>
          <w:spacing w:val="-1"/>
          <w:w w:val="100"/>
          <w:sz w:val="16"/>
          <w:vertAlign w:val="superscript"/>
          <w:lang w:val="en-US"/>
        </w:rPr>
      </w:pPr>
      <w:r>
        <w:rPr>
          <w:rFonts w:ascii="Arial" w:hAnsi="Arial" w:eastAsia="Arial"/>
          <w:strike w:val="false"/>
          <w:color w:val="000000"/>
          <w:spacing w:val="-1"/>
          <w:w w:val="100"/>
          <w:sz w:val="16"/>
          <w:vertAlign w:val="superscript"/>
          <w:lang w:val="en-US"/>
        </w:rPr>
        <w:t xml:space="preserve">7</w:t>
      </w:r>
      <w:r>
        <w:rPr>
          <w:rFonts w:ascii="Arial" w:hAnsi="Arial" w:eastAsia="Arial"/>
          <w:strike w:val="false"/>
          <w:color w:val="000000"/>
          <w:spacing w:val="-1"/>
          <w:w w:val="100"/>
          <w:sz w:val="26"/>
          <w:vertAlign w:val="baseline"/>
          <w:lang w:val="en-US"/>
        </w:rPr>
        <w:t xml:space="preserve"> Penal Law § 235.20(6).</w:t>
      </w:r>
    </w:p>
    <w:p>
      <w:pPr>
        <w:sectPr>
          <w:footerReference w:type="default" r:id="fId0"/>
          <w:type w:val="nextPage"/>
          <w:pgSz w:w="12240" w:h="15840" w:orient="portrait"/>
          <w:pgMar w:bottom="1332" w:top="1440" w:right="2140" w:left="2160" w:header="720" w:footer="1488"/>
          <w:titlePg w:val="false"/>
          <w:textDirection w:val="lrTb"/>
        </w:sectPr>
      </w:pPr>
    </w:p>
    <w:p>
      <w:pPr>
        <w:pageBreakBefore w:val="false"/>
        <w:spacing w:before="0"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pict>
          <v:line strokeweight="0.95pt" strokecolor="#000000" from="108pt,612pt" to="252.05pt,612pt" style="position:absolute;mso-position-horizontal-relative:page;mso-position-vertical-relative:page;">
            <v:stroke dashstyle="solid"/>
          </v:line>
        </w:pict>
      </w:r>
      <w:r>
        <w:rPr>
          <w:rFonts w:ascii="Arial" w:hAnsi="Arial" w:eastAsia="Arial"/>
          <w:strike w:val="false"/>
          <w:color w:val="000000"/>
          <w:spacing w:val="0"/>
          <w:w w:val="100"/>
          <w:sz w:val="28"/>
          <w:vertAlign w:val="baseline"/>
          <w:lang w:val="en-US"/>
        </w:rPr>
        <w:t xml:space="preserve">[“Sexual excitement” as used in this definition means the condition of human male or female genitals when in a state of sexual stimulation or arousal.</w:t>
      </w:r>
      <w:r>
        <w:rPr>
          <w:rFonts w:ascii="Arial" w:hAnsi="Arial" w:eastAsia="Arial"/>
          <w:strike w:val="false"/>
          <w:color w:val="000000"/>
          <w:spacing w:val="0"/>
          <w:w w:val="100"/>
          <w:sz w:val="28"/>
          <w:vertAlign w:val="superscript"/>
          <w:lang w:val="en-US"/>
        </w:rPr>
        <w:t xml:space="preserve">8</w:t>
      </w:r>
      <w:r>
        <w:rPr>
          <w:rFonts w:ascii="Arial" w:hAnsi="Arial" w:eastAsia="Arial"/>
          <w:strike w:val="false"/>
          <w:color w:val="000000"/>
          <w:spacing w:val="0"/>
          <w:w w:val="100"/>
          <w:sz w:val="28"/>
          <w:vertAlign w:val="baseline"/>
          <w:lang w:val="en-US"/>
        </w:rPr>
        <w:t xml:space="preserve">]</w:t>
      </w:r>
    </w:p>
    <w:p>
      <w:pPr>
        <w:pageBreakBefore w:val="false"/>
        <w:spacing w:before="329"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Under our law, a person who, for monetary consideration, sells or loans to a minor any of the described material is presumed to do so with knowledge of the character and content of that material.</w:t>
      </w:r>
      <w:r>
        <w:rPr>
          <w:rFonts w:ascii="Arial" w:hAnsi="Arial" w:eastAsia="Arial"/>
          <w:strike w:val="false"/>
          <w:color w:val="000000"/>
          <w:spacing w:val="-4"/>
          <w:w w:val="100"/>
          <w:sz w:val="28"/>
          <w:vertAlign w:val="superscript"/>
          <w:lang w:val="en-US"/>
        </w:rPr>
        <w:t xml:space="preserve">9</w:t>
      </w:r>
      <w:r>
        <w:rPr>
          <w:rFonts w:ascii="Arial" w:hAnsi="Arial" w:eastAsia="Arial"/>
          <w:strike w:val="false"/>
          <w:color w:val="000000"/>
          <w:spacing w:val="-4"/>
          <w:w w:val="100"/>
          <w:sz w:val="28"/>
          <w:vertAlign w:val="baseline"/>
          <w:lang w:val="en-US"/>
        </w:rPr>
        <w:t xml:space="preserve"> This means that, if the People have proven beyond a reasonable doubt that the defendant, for monetary consideration, sold or loaned to a minor, any of the described material, you may, but you are not required to, presume from that fact that the defendant did so with knowledge of the character and content of that material.</w:t>
      </w:r>
    </w:p>
    <w:p>
      <w:pPr>
        <w:pageBreakBefore w:val="false"/>
        <w:spacing w:before="318" w:after="0" w:line="32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t>
      </w:r>
      <w:r>
        <w:rPr>
          <w:rFonts w:ascii="Arial" w:hAnsi="Arial" w:eastAsia="Arial"/>
          <w:i w:val="true"/>
          <w:strike w:val="false"/>
          <w:color w:val="000000"/>
          <w:spacing w:val="0"/>
          <w:w w:val="100"/>
          <w:sz w:val="28"/>
          <w:vertAlign w:val="baseline"/>
          <w:lang w:val="en-US"/>
        </w:rPr>
        <w:t xml:space="preserve">Add where the affirmative defense to this crime is not raised:</w:t>
      </w:r>
    </w:p>
    <w:p>
      <w:pPr>
        <w:pageBreakBefore w:val="false"/>
        <w:spacing w:before="43" w:after="0" w:line="31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It is not an element of this crime, and thus the People are not required to prove beyond a reasonable doubt, that the defendant knew the person was less than seventeen years of age.</w:t>
      </w:r>
      <w:r>
        <w:rPr>
          <w:rFonts w:ascii="Arial" w:hAnsi="Arial" w:eastAsia="Arial"/>
          <w:strike w:val="false"/>
          <w:color w:val="000000"/>
          <w:spacing w:val="0"/>
          <w:w w:val="100"/>
          <w:sz w:val="28"/>
          <w:vertAlign w:val="superscript"/>
          <w:lang w:val="en-US"/>
        </w:rPr>
        <w:t xml:space="preserve">10</w:t>
      </w:r>
      <w:r>
        <w:rPr>
          <w:rFonts w:ascii="Arial" w:hAnsi="Arial" w:eastAsia="Arial"/>
          <w:strike w:val="false"/>
          <w:color w:val="000000"/>
          <w:spacing w:val="0"/>
          <w:w w:val="100"/>
          <w:sz w:val="28"/>
          <w:vertAlign w:val="baseline"/>
          <w:lang w:val="en-US"/>
        </w:rPr>
        <w:t xml:space="preserve">]</w:t>
      </w:r>
    </w:p>
    <w:p>
      <w:pPr>
        <w:pageBreakBefore w:val="false"/>
        <w:spacing w:before="327"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four elements:</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1. That on or about </w:t>
      </w:r>
      <w:r>
        <w:rPr>
          <w:rFonts w:ascii="Arial" w:hAnsi="Arial" w:eastAsia="Arial"/>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vertAlign w:val="baseline"/>
          <w:lang w:val="en-US"/>
        </w:rPr>
        <w:t xml:space="preserve"> in the county of</w:t>
      </w:r>
      <w:r>
        <w:rPr>
          <w:rFonts w:ascii="Arial" w:hAnsi="Arial" w:eastAsia="Arial"/>
          <w:strike w:val="false"/>
          <w:color w:val="000000"/>
          <w:spacing w:val="0"/>
          <w:w w:val="100"/>
          <w:sz w:val="28"/>
          <w:u w:val="single"/>
          <w:vertAlign w:val="baseline"/>
          <w:lang w:val="en-US"/>
        </w:rPr>
        <w:t xml:space="preserve"> (county) </w:t>
      </w:r>
      <w:r>
        <w:rPr>
          <w:rFonts w:ascii="Arial" w:hAnsi="Arial" w:eastAsia="Arial"/>
          <w:strike w:val="false"/>
          <w:color w:val="000000"/>
          <w:spacing w:val="0"/>
          <w:w w:val="100"/>
          <w:sz w:val="28"/>
          <w:vertAlign w:val="baseline"/>
          <w:lang w:val="en-US"/>
        </w:rPr>
        <w:t xml:space="preserve"> , the defendant, </w:t>
      </w:r>
      <w:r>
        <w:rPr>
          <w:rFonts w:ascii="Arial" w:hAnsi="Arial" w:eastAsia="Arial"/>
          <w:strike w:val="false"/>
          <w:color w:val="000000"/>
          <w:spacing w:val="0"/>
          <w:w w:val="100"/>
          <w:sz w:val="28"/>
          <w:u w:val="single"/>
          <w:vertAlign w:val="baseline"/>
          <w:lang w:val="en-US"/>
        </w:rPr>
        <w:t xml:space="preserve"> (defendant’s name) </w:t>
      </w:r>
      <w:r>
        <w:rPr>
          <w:rFonts w:ascii="Arial" w:hAnsi="Arial" w:eastAsia="Arial"/>
          <w:strike w:val="false"/>
          <w:color w:val="000000"/>
          <w:spacing w:val="0"/>
          <w:w w:val="100"/>
          <w:sz w:val="28"/>
          <w:vertAlign w:val="baseline"/>
          <w:lang w:val="en-US"/>
        </w:rPr>
        <w:t xml:space="preserve"> , for monetary consideration, sold or loaned any</w:t>
      </w:r>
    </w:p>
    <w:p>
      <w:pPr>
        <w:pageBreakBefore w:val="false"/>
        <w:spacing w:before="324" w:after="414" w:line="324"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w:t>
      </w:r>
      <w:r>
        <w:rPr>
          <w:rFonts w:ascii="Arial" w:hAnsi="Arial" w:eastAsia="Arial"/>
          <w:i w:val="true"/>
          <w:strike w:val="false"/>
          <w:color w:val="000000"/>
          <w:spacing w:val="-3"/>
          <w:w w:val="100"/>
          <w:sz w:val="28"/>
          <w:vertAlign w:val="baseline"/>
          <w:lang w:val="en-US"/>
        </w:rPr>
        <w:t xml:space="preserve">Specify as appropriate: </w:t>
      </w:r>
      <w:r>
        <w:rPr>
          <w:rFonts w:ascii="Arial" w:hAnsi="Arial" w:eastAsia="Arial"/>
          <w:strike w:val="false"/>
          <w:color w:val="000000"/>
          <w:spacing w:val="-3"/>
          <w:w w:val="100"/>
          <w:sz w:val="28"/>
          <w:vertAlign w:val="baseline"/>
          <w:lang w:val="en-US"/>
        </w:rPr>
        <w:t xml:space="preserve">book, pamphlet, magazine, printed matter however produced, or [sound recording] which contained a visual representation or image of a person or portion of the</w:t>
      </w:r>
    </w:p>
    <w:p>
      <w:pPr>
        <w:pageBreakBefore w:val="false"/>
        <w:spacing w:before="257" w:after="0" w:line="299" w:lineRule="exact"/>
        <w:ind w:right="0" w:left="720" w:firstLine="0"/>
        <w:jc w:val="left"/>
        <w:textAlignment w:val="baseline"/>
        <w:rPr>
          <w:rFonts w:ascii="Arial" w:hAnsi="Arial" w:eastAsia="Arial"/>
          <w:strike w:val="false"/>
          <w:color w:val="000000"/>
          <w:spacing w:val="-1"/>
          <w:w w:val="100"/>
          <w:sz w:val="16"/>
          <w:vertAlign w:val="superscript"/>
          <w:lang w:val="en-US"/>
        </w:rPr>
      </w:pPr>
      <w:r>
        <w:rPr>
          <w:rFonts w:ascii="Arial" w:hAnsi="Arial" w:eastAsia="Arial"/>
          <w:strike w:val="false"/>
          <w:color w:val="000000"/>
          <w:spacing w:val="-1"/>
          <w:w w:val="100"/>
          <w:sz w:val="16"/>
          <w:vertAlign w:val="superscript"/>
          <w:lang w:val="en-US"/>
        </w:rPr>
        <w:t xml:space="preserve">8</w:t>
      </w:r>
      <w:r>
        <w:rPr>
          <w:rFonts w:ascii="Arial" w:hAnsi="Arial" w:eastAsia="Arial"/>
          <w:strike w:val="false"/>
          <w:color w:val="000000"/>
          <w:spacing w:val="-1"/>
          <w:w w:val="100"/>
          <w:sz w:val="26"/>
          <w:vertAlign w:val="baseline"/>
          <w:lang w:val="en-US"/>
        </w:rPr>
        <w:t xml:space="preserve"> Penal Law § 235.20(4).</w:t>
      </w:r>
    </w:p>
    <w:p>
      <w:pPr>
        <w:pageBreakBefore w:val="false"/>
        <w:spacing w:before="239" w:after="0" w:line="309" w:lineRule="exact"/>
        <w:ind w:right="0" w:left="720" w:firstLine="0"/>
        <w:jc w:val="left"/>
        <w:textAlignment w:val="baseline"/>
        <w:rPr>
          <w:rFonts w:ascii="Arial" w:hAnsi="Arial" w:eastAsia="Arial"/>
          <w:strike w:val="false"/>
          <w:color w:val="000000"/>
          <w:spacing w:val="-1"/>
          <w:w w:val="100"/>
          <w:sz w:val="16"/>
          <w:vertAlign w:val="superscript"/>
          <w:lang w:val="en-US"/>
        </w:rPr>
      </w:pPr>
      <w:r>
        <w:rPr>
          <w:rFonts w:ascii="Arial" w:hAnsi="Arial" w:eastAsia="Arial"/>
          <w:strike w:val="false"/>
          <w:color w:val="000000"/>
          <w:spacing w:val="-1"/>
          <w:w w:val="100"/>
          <w:sz w:val="16"/>
          <w:vertAlign w:val="superscript"/>
          <w:lang w:val="en-US"/>
        </w:rPr>
        <w:t xml:space="preserve">9</w:t>
      </w:r>
      <w:r>
        <w:rPr>
          <w:rFonts w:ascii="Arial" w:hAnsi="Arial" w:eastAsia="Arial"/>
          <w:strike w:val="false"/>
          <w:color w:val="000000"/>
          <w:spacing w:val="-1"/>
          <w:w w:val="100"/>
          <w:sz w:val="26"/>
          <w:vertAlign w:val="baseline"/>
          <w:lang w:val="en-US"/>
        </w:rPr>
        <w:t xml:space="preserve"> See Penal Law § 235.23(1)</w:t>
      </w:r>
      <w:r>
        <w:rPr>
          <w:rFonts w:ascii="Times New Roman" w:hAnsi="Times New Roman" w:eastAsia="Times New Roman"/>
          <w:strike w:val="false"/>
          <w:color w:val="000000"/>
          <w:spacing w:val="-1"/>
          <w:w w:val="100"/>
          <w:sz w:val="26"/>
          <w:vertAlign w:val="baseline"/>
          <w:lang w:val="en-US"/>
        </w:rPr>
        <w:t xml:space="preserve">.</w:t>
      </w:r>
    </w:p>
    <w:p>
      <w:pPr>
        <w:pageBreakBefore w:val="false"/>
        <w:spacing w:before="234" w:after="0" w:line="300" w:lineRule="exact"/>
        <w:ind w:right="0" w:left="720" w:firstLine="0"/>
        <w:jc w:val="left"/>
        <w:textAlignment w:val="baseline"/>
        <w:rPr>
          <w:rFonts w:ascii="Arial" w:hAnsi="Arial" w:eastAsia="Arial"/>
          <w:strike w:val="false"/>
          <w:color w:val="000000"/>
          <w:spacing w:val="-1"/>
          <w:w w:val="100"/>
          <w:sz w:val="16"/>
          <w:vertAlign w:val="superscript"/>
          <w:lang w:val="en-US"/>
        </w:rPr>
      </w:pPr>
      <w:r>
        <w:rPr>
          <w:rFonts w:ascii="Arial" w:hAnsi="Arial" w:eastAsia="Arial"/>
          <w:strike w:val="false"/>
          <w:color w:val="000000"/>
          <w:spacing w:val="-1"/>
          <w:w w:val="100"/>
          <w:sz w:val="16"/>
          <w:vertAlign w:val="superscript"/>
          <w:lang w:val="en-US"/>
        </w:rPr>
        <w:t xml:space="preserve">10</w:t>
      </w:r>
      <w:r>
        <w:rPr>
          <w:rFonts w:ascii="Arial" w:hAnsi="Arial" w:eastAsia="Arial"/>
          <w:strike w:val="false"/>
          <w:color w:val="000000"/>
          <w:spacing w:val="-1"/>
          <w:w w:val="100"/>
          <w:sz w:val="26"/>
          <w:vertAlign w:val="baseline"/>
          <w:lang w:val="en-US"/>
        </w:rPr>
        <w:t xml:space="preserve"> See Penal Law § 15.05(3).</w:t>
      </w:r>
    </w:p>
    <w:p>
      <w:pPr>
        <w:sectPr>
          <w:type w:val="nextPage"/>
          <w:pgSz w:w="12240" w:h="15840" w:orient="portrait"/>
          <w:pgMar w:bottom="1330" w:top="1440" w:right="2140" w:left="2160" w:header="720" w:footer="1482"/>
          <w:titlePg w:val="false"/>
          <w:textDirection w:val="lrTb"/>
        </w:sectPr>
      </w:pPr>
    </w:p>
    <w:p>
      <w:pPr>
        <w:pageBreakBefore w:val="false"/>
        <w:spacing w:before="0" w:after="0" w:line="324"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human body which depicted nudity, sexual conduct or sado</w:t>
        <w:softHyphen/>
      </w:r>
      <w:r>
        <w:rPr>
          <w:rFonts w:ascii="Arial" w:hAnsi="Arial" w:eastAsia="Arial"/>
          <w:strike w:val="false"/>
          <w:color w:val="000000"/>
          <w:spacing w:val="0"/>
          <w:w w:val="100"/>
          <w:sz w:val="28"/>
          <w:vertAlign w:val="baseline"/>
          <w:lang w:val="en-US"/>
        </w:rPr>
        <w:t xml:space="preserve">masochistic abuse, [or explicit and detailed verbal descriptions or narrative accounts of sexual excitement, sexual conduct or sado</w:t>
        <w:softHyphen/>
      </w:r>
      <w:r>
        <w:rPr>
          <w:rFonts w:ascii="Arial" w:hAnsi="Arial" w:eastAsia="Arial"/>
          <w:strike w:val="false"/>
          <w:color w:val="000000"/>
          <w:spacing w:val="0"/>
          <w:w w:val="100"/>
          <w:sz w:val="28"/>
          <w:vertAlign w:val="baseline"/>
          <w:lang w:val="en-US"/>
        </w:rPr>
        <w:t xml:space="preserve">masochistic abuse];</w:t>
      </w:r>
    </w:p>
    <w:p>
      <w:pPr>
        <w:pageBreakBefore w:val="false"/>
        <w:numPr>
          <w:ilvl w:val="0"/>
          <w:numId w:val="2"/>
        </w:numPr>
        <w:tabs>
          <w:tab w:val="clear" w:pos="360"/>
          <w:tab w:val="left" w:pos="1080"/>
        </w:tabs>
        <w:spacing w:before="322"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had knowledge of the character and content of that material;</w:t>
      </w:r>
    </w:p>
    <w:p>
      <w:pPr>
        <w:pageBreakBefore w:val="false"/>
        <w:numPr>
          <w:ilvl w:val="0"/>
          <w:numId w:val="3"/>
        </w:numPr>
        <w:tabs>
          <w:tab w:val="clear" w:pos="360"/>
          <w:tab w:val="left" w:pos="1080"/>
        </w:tabs>
        <w:spacing w:before="316" w:after="0" w:line="32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taken as a whole, the material was harmful to minors; and</w:t>
      </w:r>
    </w:p>
    <w:p>
      <w:pPr>
        <w:pageBreakBefore w:val="false"/>
        <w:numPr>
          <w:ilvl w:val="0"/>
          <w:numId w:val="3"/>
        </w:numPr>
        <w:tabs>
          <w:tab w:val="clear" w:pos="360"/>
          <w:tab w:val="left" w:pos="1080"/>
        </w:tabs>
        <w:spacing w:before="327"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sold or loaned that material to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 </w:t>
      </w:r>
      <w:r>
        <w:rPr>
          <w:rFonts w:ascii="Arial" w:hAnsi="Arial" w:eastAsia="Arial"/>
          <w:strike w:val="false"/>
          <w:color w:val="000000"/>
          <w:spacing w:val="0"/>
          <w:w w:val="100"/>
          <w:sz w:val="28"/>
          <w:vertAlign w:val="baseline"/>
          <w:lang w:val="en-US"/>
        </w:rPr>
        <w:t xml:space="preserve"> , and </w:t>
      </w:r>
      <w:r>
        <w:rPr>
          <w:rFonts w:ascii="Arial" w:hAnsi="Arial" w:eastAsia="Arial"/>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vertAlign w:val="baseline"/>
          <w:lang w:val="en-US"/>
        </w:rPr>
        <w:t xml:space="preserve"> was a minor.</w:t>
      </w:r>
    </w:p>
    <w:p>
      <w:pPr>
        <w:pageBreakBefore w:val="false"/>
        <w:spacing w:before="322" w:after="0" w:line="319"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t>
      </w:r>
      <w:r>
        <w:rPr>
          <w:rFonts w:ascii="Arial" w:hAnsi="Arial" w:eastAsia="Arial"/>
          <w:i w:val="true"/>
          <w:strike w:val="false"/>
          <w:color w:val="000000"/>
          <w:spacing w:val="0"/>
          <w:w w:val="100"/>
          <w:sz w:val="28"/>
          <w:vertAlign w:val="baseline"/>
          <w:lang w:val="en-US"/>
        </w:rPr>
        <w:t xml:space="preserve">NOTE: If the affirmative defense does not apply:</w:t>
      </w:r>
    </w:p>
    <w:p>
      <w:pPr>
        <w:pageBreakBefore w:val="false"/>
        <w:spacing w:before="330"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3"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327" w:after="0" w:line="319"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t>
      </w:r>
      <w:r>
        <w:rPr>
          <w:rFonts w:ascii="Arial" w:hAnsi="Arial" w:eastAsia="Arial"/>
          <w:i w:val="true"/>
          <w:strike w:val="false"/>
          <w:color w:val="000000"/>
          <w:spacing w:val="0"/>
          <w:w w:val="100"/>
          <w:sz w:val="28"/>
          <w:vertAlign w:val="baseline"/>
          <w:lang w:val="en-US"/>
        </w:rPr>
        <w:t xml:space="preserve">NOTE: If the affirmative defense does apply:</w:t>
      </w:r>
    </w:p>
    <w:p>
      <w:pPr>
        <w:pageBreakBefore w:val="false"/>
        <w:spacing w:before="328"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that the People have not proven beyond a reasonable doubt any one or more of those elements, you must find the defendant not guilty of the crime of Disseminating Indecent Material to Minors in the Second Degree.</w:t>
      </w:r>
    </w:p>
    <w:p>
      <w:pPr>
        <w:pageBreakBefore w:val="false"/>
        <w:spacing w:before="326"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that the People have proven beyond a reasonable doubt each of those elements, you must consider an affirmative defense the defendant has raised. Remember, if you have already found the defendant not guilty of the crime of Disseminating Indecent Material to Minors in the Second Degree, you will not consider the affirmative defense.</w:t>
      </w:r>
    </w:p>
    <w:p>
      <w:pPr>
        <w:sectPr>
          <w:type w:val="nextPage"/>
          <w:pgSz w:w="12240" w:h="15840" w:orient="portrait"/>
          <w:pgMar w:bottom="1332" w:top="1440" w:right="2140" w:left="2148" w:header="720" w:footer="1487"/>
          <w:titlePg w:val="false"/>
          <w:textDirection w:val="lrTb"/>
        </w:sectPr>
      </w:pPr>
    </w:p>
    <w:p>
      <w:pPr>
        <w:pageBreakBefore w:val="false"/>
        <w:spacing w:before="2"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pict>
          <v:line strokeweight="0.95pt" strokecolor="#000000" from="108pt,666.25pt" to="252.05pt,666.25pt" style="position:absolute;mso-position-horizontal-relative:page;mso-position-vertical-relative:page;">
            <v:stroke dashstyle="solid"/>
          </v:line>
        </w:pict>
      </w:r>
      <w:r>
        <w:rPr>
          <w:rFonts w:ascii="Arial" w:hAnsi="Arial" w:eastAsia="Arial"/>
          <w:strike w:val="false"/>
          <w:color w:val="000000"/>
          <w:spacing w:val="0"/>
          <w:w w:val="100"/>
          <w:sz w:val="28"/>
          <w:vertAlign w:val="baseline"/>
          <w:lang w:val="en-US"/>
        </w:rPr>
        <w:t xml:space="preserve">Under our law, the People are not required to prove beyond a reasonable doubt, that the defendant knew the person was less than seventeen years of age. It is, however, an affirmative defense to this charge of Disseminating Indecent Material to Minors in the Second Degree that:</w:t>
      </w:r>
    </w:p>
    <w:p>
      <w:pPr>
        <w:pageBreakBefore w:val="false"/>
        <w:numPr>
          <w:ilvl w:val="0"/>
          <w:numId w:val="1"/>
        </w:numPr>
        <w:tabs>
          <w:tab w:val="clear" w:pos="432"/>
          <w:tab w:val="left" w:pos="1872"/>
        </w:tabs>
        <w:spacing w:before="316" w:after="0" w:line="325" w:lineRule="exact"/>
        <w:ind w:right="0" w:left="72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defendant had reasonable cause to believe that the minor involved was seventeen years old or more; and</w:t>
      </w:r>
    </w:p>
    <w:p>
      <w:pPr>
        <w:pageBreakBefore w:val="false"/>
        <w:numPr>
          <w:ilvl w:val="0"/>
          <w:numId w:val="1"/>
        </w:numPr>
        <w:tabs>
          <w:tab w:val="clear" w:pos="432"/>
          <w:tab w:val="left" w:pos="1872"/>
        </w:tabs>
        <w:spacing w:before="318" w:after="0" w:line="325" w:lineRule="exact"/>
        <w:ind w:right="0" w:left="72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such minor exhibited to the defendant a draft card, driver’s license, birth certificate or other official or apparently official document purporting to establish that such minor was seventeen years old or more.</w:t>
      </w:r>
      <w:r>
        <w:rPr>
          <w:rFonts w:ascii="Arial" w:hAnsi="Arial" w:eastAsia="Arial"/>
          <w:strike w:val="false"/>
          <w:color w:val="000000"/>
          <w:spacing w:val="0"/>
          <w:w w:val="100"/>
          <w:sz w:val="28"/>
          <w:vertAlign w:val="superscript"/>
          <w:lang w:val="en-US"/>
        </w:rPr>
        <w:t xml:space="preserve">11</w:t>
      </w:r>
      <w:r>
        <w:rPr>
          <w:rFonts w:ascii="Arial" w:hAnsi="Arial" w:eastAsia="Arial"/>
          <w:strike w:val="false"/>
          <w:color w:val="000000"/>
          <w:spacing w:val="0"/>
          <w:w w:val="100"/>
          <w:sz w:val="17"/>
          <w:vertAlign w:val="baseline"/>
          <w:lang w:val="en-US"/>
        </w:rPr>
        <w:t xml:space="preserve">
</w:t>
      </w:r>
    </w:p>
    <w:p>
      <w:pPr>
        <w:pageBreakBefore w:val="false"/>
        <w:spacing w:before="329"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the defendant has the burden of proving an affirmative defense by a preponderance of the evidence.</w:t>
      </w:r>
    </w:p>
    <w:p>
      <w:pPr>
        <w:pageBreakBefore w:val="false"/>
        <w:spacing w:before="316" w:after="0" w:line="325"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determining whether the defendant has proven the affirmative defense by a preponderance of the evidence, you may consider evidence introduced by the People or by the defendant.</w:t>
      </w:r>
    </w:p>
    <w:p>
      <w:pPr>
        <w:pageBreakBefore w:val="false"/>
        <w:spacing w:before="323" w:after="0" w:line="325"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A preponderance of the evidence means the greater part of the believable and reliable evidence, not in terms of the number of witnesses or the length of time taken to present the evidence, but in terms of its quality and the weight and convincing effect it</w:t>
      </w:r>
    </w:p>
    <w:p>
      <w:pPr>
        <w:pageBreakBefore w:val="false"/>
        <w:tabs>
          <w:tab w:val="right" w:leader="none" w:pos="7920"/>
        </w:tabs>
        <w:spacing w:before="0" w:after="0" w:line="324"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has.	</w:t>
      </w:r>
      <w:r>
        <w:rPr>
          <w:rFonts w:ascii="Arial" w:hAnsi="Arial" w:eastAsia="Arial"/>
          <w:strike w:val="false"/>
          <w:color w:val="000000"/>
          <w:spacing w:val="0"/>
          <w:w w:val="100"/>
          <w:sz w:val="28"/>
          <w:vertAlign w:val="baseline"/>
          <w:lang w:val="en-US"/>
        </w:rPr>
        <w:t xml:space="preserve">For the affirmative defense to be proved by a</w:t>
        <w:br/>
      </w:r>
      <w:r>
        <w:rPr>
          <w:rFonts w:ascii="Arial" w:hAnsi="Arial" w:eastAsia="Arial"/>
          <w:strike w:val="false"/>
          <w:color w:val="000000"/>
          <w:spacing w:val="0"/>
          <w:w w:val="100"/>
          <w:sz w:val="28"/>
          <w:vertAlign w:val="baseline"/>
          <w:lang w:val="en-US"/>
        </w:rPr>
        <w:t xml:space="preserve">preponderance of the evidence, the evidence that supports the affirmative defense must be of such convincing quality as to outweigh any evidence to the contrary.</w:t>
      </w:r>
    </w:p>
    <w:p>
      <w:pPr>
        <w:pageBreakBefore w:val="false"/>
        <w:spacing w:before="322" w:after="518" w:line="325"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If you find that the defendant has not proven the affirmative defense by a preponderance of the evidence, then, based upon your initial determination that the People had proven beyond a reasonable doubt each of the elements of Disseminating Indecent</w:t>
      </w:r>
    </w:p>
    <w:p>
      <w:pPr>
        <w:pageBreakBefore w:val="false"/>
        <w:spacing w:before="253" w:after="0" w:line="300" w:lineRule="exact"/>
        <w:ind w:right="0" w:left="720" w:firstLine="0"/>
        <w:jc w:val="left"/>
        <w:textAlignment w:val="baseline"/>
        <w:rPr>
          <w:rFonts w:ascii="Arial" w:hAnsi="Arial" w:eastAsia="Arial"/>
          <w:strike w:val="false"/>
          <w:color w:val="000000"/>
          <w:spacing w:val="-1"/>
          <w:w w:val="100"/>
          <w:sz w:val="16"/>
          <w:vertAlign w:val="superscript"/>
          <w:lang w:val="en-US"/>
        </w:rPr>
      </w:pPr>
      <w:r>
        <w:rPr>
          <w:rFonts w:ascii="Arial" w:hAnsi="Arial" w:eastAsia="Arial"/>
          <w:strike w:val="false"/>
          <w:color w:val="000000"/>
          <w:spacing w:val="-1"/>
          <w:w w:val="100"/>
          <w:sz w:val="16"/>
          <w:vertAlign w:val="superscript"/>
          <w:lang w:val="en-US"/>
        </w:rPr>
        <w:t xml:space="preserve">11</w:t>
      </w:r>
      <w:r>
        <w:rPr>
          <w:rFonts w:ascii="Arial" w:hAnsi="Arial" w:eastAsia="Arial"/>
          <w:strike w:val="false"/>
          <w:color w:val="000000"/>
          <w:spacing w:val="-1"/>
          <w:w w:val="100"/>
          <w:sz w:val="26"/>
          <w:vertAlign w:val="baseline"/>
          <w:lang w:val="en-US"/>
        </w:rPr>
        <w:t xml:space="preserve"> See Penal Law § 235.23(2).</w:t>
      </w:r>
    </w:p>
    <w:p>
      <w:pPr>
        <w:sectPr>
          <w:type w:val="nextPage"/>
          <w:pgSz w:w="12240" w:h="15840" w:orient="portrait"/>
          <w:pgMar w:bottom="1330" w:top="1440" w:right="2140" w:left="2160" w:header="720" w:footer="1482"/>
          <w:titlePg w:val="false"/>
          <w:textDirection w:val="lrTb"/>
        </w:sectPr>
      </w:pPr>
    </w:p>
    <w:p>
      <w:pPr>
        <w:pageBreakBefore w:val="false"/>
        <w:spacing w:before="2" w:after="0" w:line="326"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Material to Minors in the Second Degree, you must find the defendant guilty of that crime.</w:t>
      </w:r>
    </w:p>
    <w:p>
      <w:pPr>
        <w:pageBreakBefore w:val="false"/>
        <w:spacing w:before="318"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that the defendant has proven the affirmative defense by a preponderance of the evidence, then you must find the defendant not guilty of Disseminating Indecent Material to Minors in the Second Degree.]</w:t>
      </w:r>
    </w:p>
    <w:sectPr>
      <w:type w:val="nextPage"/>
      <w:pgSz w:w="12240" w:h="15840" w:orient="portrait"/>
      <w:pgMar w:bottom="1323" w:top="1440" w:right="2147" w:left="2153" w:header="720" w:footer="1483"/>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26"/>
      </w:tabs>
      <w:spacing w:before="0" w:after="0" w:line="288"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Arial" w:hAnsi="Arial" w:eastAsia="Arial"/>
        <w:strike w:val="false"/>
        <w:color w:val="000000"/>
        <w:spacing w:val="0"/>
        <w:w w:val="100"/>
        <w:sz w:val="26"/>
        <w:vertAlign w:val="baseline"/>
        <w:lang w:val="en-US"/>
      </w:rPr>
      <w:fldChar w:fldCharType="begin"/>
    </w:r>
    <w:r>
      <w:rPr>
        <w:rFonts w:ascii="Arial" w:hAnsi="Arial" w:eastAsia="Arial"/>
        <w:strike w:val="false"/>
        <w:color w:val="000000"/>
        <w:spacing w:val="0"/>
        <w:w w:val="100"/>
        <w:sz w:val="26"/>
        <w:vertAlign w:val="baseline"/>
        <w:lang w:val="en-US"/>
      </w:rPr>
      <w:instrText xml:space="preserve">PAGE</w:instrText>
    </w:r>
    <w:r>
      <w:rPr>
        <w:rFonts w:ascii="Arial" w:hAnsi="Arial" w:eastAsia="Arial"/>
        <w:strike w:val="false"/>
        <w:color w:val="000000"/>
        <w:spacing w:val="0"/>
        <w:w w:val="100"/>
        <w:sz w:val="26"/>
        <w:vertAlign w:val="baseline"/>
        <w:lang w:val="en-US"/>
      </w:rPr>
      <w:fldChar w:fldCharType="end"/>
    </w:r>
    <w:r>
      <w:rPr>
        <w:rFonts w:ascii="Arial" w:hAnsi="Arial" w:eastAsia="Arial"/>
        <w:strike w:val="false"/>
        <w:color w:val="000000"/>
        <w:spacing w:val="0"/>
        <w:w w:val="100"/>
        <w:sz w:val="26"/>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lowerLetter"/>
      <w:lvlText w:val="(%1)"/>
      <w:pPr>
        <w:tabs>
          <w:tab w:val="left" w:pos="432"/>
        </w:tabs>
      </w:pPr>
      <w:rPr>
        <w:rFonts w:ascii="Arial" w:hAnsi="Arial" w:eastAsia="Arial"/>
        <w:strike w:val="false"/>
        <w:color w:val="000000"/>
        <w:spacing w:val="0"/>
        <w:w w:val="100"/>
        <w:sz w:val="28"/>
        <w:vertAlign w:val="baseline"/>
        <w:lang w:val="en-US"/>
      </w:rPr>
    </w:lvl>
  </w:abstractNum>
  <w:abstractNum w:abstractNumId="2">
    <w:lvl w:ilvl="0">
      <w:start w:val="2"/>
      <w:numFmt w:val="decimal"/>
      <w:lvlText w:val="%1."/>
      <w:pPr>
        <w:tabs>
          <w:tab w:val="left" w:pos="360"/>
        </w:tabs>
      </w:pPr>
      <w:rPr>
        <w:rFonts w:ascii="Arial" w:hAnsi="Arial" w:eastAsia="Arial"/>
        <w:strike w:val="false"/>
        <w:color w:val="000000"/>
        <w:spacing w:val="0"/>
        <w:w w:val="100"/>
        <w:sz w:val="28"/>
        <w:vertAlign w:val="baseline"/>
        <w:lang w:val="en-US"/>
      </w:rPr>
    </w:lvl>
  </w:abstractNum>
  <w:abstractNum w:abstractNumId="3">
    <w:lvl w:ilvl="0">
      <w:start w:val="1"/>
      <w:numFmt w:val="decimal"/>
      <w:lvlText w:val="%1."/>
      <w:pPr>
        <w:tabs>
          <w:tab w:val="left" w:pos="360"/>
        </w:tabs>
      </w:pPr>
      <w:rPr>
        <w:rFonts w:ascii="Arial" w:hAnsi="Arial" w:eastAsia="Arial"/>
        <w:strike w:val="false"/>
        <w:color w:val="000000"/>
        <w:spacing w:val="0"/>
        <w:w w:val="100"/>
        <w:sz w:val="28"/>
        <w:vertAlign w:val="baseline"/>
        <w:lang w:val="en-US"/>
      </w:rPr>
    </w:lvl>
  </w:abstractNum>
  <w:num w:numId="1">
    <w:abstractNumId w:val="1"/>
  </w:num>
  <w:num w:numId="2">
    <w:abstractNumId w:val="2"/>
  </w:num>
  <w:num w:numId="3">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