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84"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AGGRAVATED PATRONIZING A MINOR FOR PROSTITUTION</w:t>
        <w:br/>
      </w:r>
      <w:r>
        <w:rPr>
          <w:rFonts w:ascii="Arial" w:hAnsi="Arial" w:eastAsia="Arial"/>
          <w:b w:val="true"/>
          <w:color w:val="000000"/>
          <w:spacing w:val="0"/>
          <w:w w:val="100"/>
          <w:sz w:val="26"/>
          <w:vertAlign w:val="baseline"/>
          <w:lang w:val="en-US"/>
        </w:rPr>
        <w:t xml:space="preserve">IN THE SECOND DEGREE</w:t>
        <w:br/>
      </w:r>
      <w:r>
        <w:rPr>
          <w:rFonts w:ascii="Arial" w:hAnsi="Arial" w:eastAsia="Arial"/>
          <w:b w:val="true"/>
          <w:color w:val="000000"/>
          <w:spacing w:val="0"/>
          <w:w w:val="100"/>
          <w:sz w:val="26"/>
          <w:vertAlign w:val="baseline"/>
          <w:lang w:val="en-US"/>
        </w:rPr>
        <w:t xml:space="preserve">Penal Law § 230.12</w:t>
        <w:br/>
      </w:r>
      <w:r>
        <w:rPr>
          <w:rFonts w:ascii="Arial" w:hAnsi="Arial" w:eastAsia="Arial"/>
          <w:b w:val="true"/>
          <w:color w:val="000000"/>
          <w:spacing w:val="0"/>
          <w:w w:val="100"/>
          <w:sz w:val="26"/>
          <w:vertAlign w:val="baseline"/>
          <w:lang w:val="en-US"/>
        </w:rPr>
        <w:t xml:space="preserve">(Committed on or after Jan. 19, 2016)</w:t>
      </w:r>
    </w:p>
    <w:p>
      <w:pPr>
        <w:pageBreakBefore w:val="false"/>
        <w:spacing w:before="393" w:after="0" w:line="40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(specify) count is Aggravated Patronizing a Minor for Prostitution in the Second Degree.</w:t>
      </w:r>
    </w:p>
    <w:p>
      <w:pPr>
        <w:pageBreakBefore w:val="false"/>
        <w:spacing w:before="412" w:after="0" w:line="403"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a person is guilty of Aggravated Patronizing a Minor for Prostitution in the Second Degree when, being eighteen (18) years old or more, he or she patronizes a person for prostitution and the person patronized is less than fifteen (15) years old and the person guilty of patronizing engages in sexual intercourse, oral sexual conduct, anal sexual conduct, or aggravated sexual conduct</w:t>
      </w:r>
      <w:r>
        <w:rPr>
          <w:rFonts w:ascii="Arial" w:hAnsi="Arial" w:eastAsia="Arial"/>
          <w:color w:val="000000"/>
          <w:spacing w:val="-2"/>
          <w:w w:val="100"/>
          <w:sz w:val="28"/>
          <w:vertAlign w:val="superscript"/>
          <w:lang w:val="en-US"/>
        </w:rPr>
        <w:t xml:space="preserve">1</w:t>
      </w:r>
      <w:r>
        <w:rPr>
          <w:rFonts w:ascii="Arial" w:hAnsi="Arial" w:eastAsia="Arial"/>
          <w:color w:val="000000"/>
          <w:spacing w:val="-2"/>
          <w:w w:val="100"/>
          <w:sz w:val="28"/>
          <w:vertAlign w:val="baseline"/>
          <w:lang w:val="en-US"/>
        </w:rPr>
        <w:t xml:space="preserve"> with the person patronized.</w:t>
      </w:r>
    </w:p>
    <w:p>
      <w:pPr>
        <w:pageBreakBefore w:val="false"/>
        <w:spacing w:before="406" w:after="0" w:line="40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75" w:after="0" w:line="40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person PATRONIZES A PERSON FOR PROSTITUTION when:</w:t>
      </w:r>
    </w:p>
    <w:p>
      <w:pPr>
        <w:pageBreakBefore w:val="false"/>
        <w:spacing w:before="492" w:after="0" w:line="318"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w:t>
      </w:r>
    </w:p>
    <w:p>
      <w:pPr>
        <w:pageBreakBefore w:val="false"/>
        <w:spacing w:before="408" w:after="0" w:line="402"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Pursuant to a prior understanding, he or she pays a fee to another person as compensation for such person or a third person having engaged in sexual conduct</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with him or her;</w:t>
      </w:r>
    </w:p>
    <w:p>
      <w:pPr>
        <w:pageBreakBefore w:val="false"/>
        <w:spacing w:before="414" w:after="297" w:line="403"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He or she pays or agrees to pay a fee to another person pursuant to an understanding that in return</w:t>
      </w:r>
    </w:p>
    <w:p>
      <w:pPr>
        <w:pageBreakBefore w:val="false"/>
        <w:spacing w:before="257" w:after="754" w:line="276" w:lineRule="exact"/>
        <w:ind w:right="0" w:left="0" w:firstLine="0"/>
        <w:jc w:val="both"/>
        <w:textAlignment w:val="baseline"/>
        <w:rPr>
          <w:rFonts w:ascii="Times New Roman" w:hAnsi="Times New Roman" w:eastAsia="Times New Roman"/>
          <w:color w:val="000000"/>
          <w:spacing w:val="0"/>
          <w:w w:val="100"/>
          <w:sz w:val="14"/>
          <w:vertAlign w:val="superscript"/>
          <w:lang w:val="en-US"/>
        </w:rPr>
      </w:pPr>
      <w:r>
        <w:pict>
          <v:line strokeweight="1.2pt" strokecolor="#000000" from="108pt,669.1pt" to="252.05pt,669.1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At this point the statute continues: “as those terms are defined in section 130.00 of this part.”</w:t>
      </w:r>
    </w:p>
    <w:p>
      <w:pPr>
        <w:spacing w:before="257" w:after="754" w:line="276" w:lineRule="exact"/>
        <w:sectPr>
          <w:type w:val="nextPage"/>
          <w:pgSz w:w="12240" w:h="15840" w:orient="portrait"/>
          <w:pgMar w:bottom="304" w:top="640" w:right="2140" w:left="2160" w:header="720" w:footer="720"/>
          <w:titlePg w:val="false"/>
          <w:textDirection w:val="lrTb"/>
        </w:sectPr>
      </w:pPr>
    </w:p>
    <w:p>
      <w:pPr>
        <w:pageBreakBefore w:val="false"/>
        <w:spacing w:before="0"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1 of 4</w:t>
      </w:r>
    </w:p>
    <w:p>
      <w:pPr>
        <w:sectPr>
          <w:type w:val="continuous"/>
          <w:pgSz w:w="12240" w:h="15840" w:orient="portrait"/>
          <w:pgMar w:bottom="304" w:top="640" w:right="2140" w:left="2160" w:header="720" w:footer="720"/>
          <w:titlePg w:val="false"/>
          <w:textDirection w:val="lrTb"/>
        </w:sectPr>
      </w:pPr>
    </w:p>
    <w:p>
      <w:pPr>
        <w:pageBreakBefore w:val="false"/>
        <w:spacing w:before="12" w:after="0" w:line="40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therefor such person or a third person will engage in sexual conduct with him or her;</w:t>
      </w:r>
    </w:p>
    <w:p>
      <w:pPr>
        <w:pageBreakBefore w:val="false"/>
        <w:spacing w:before="419" w:after="0" w:line="393"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He or she solicits or requests another person to engage in sexual conduct with him or her in return for a fee.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26" w:after="0" w:line="806" w:lineRule="exact"/>
        <w:ind w:right="1368"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PERSON WHO IS PATRONIZED means </w:t>
      </w:r>
      <w:r>
        <w:rPr>
          <w:rFonts w:ascii="Arial" w:hAnsi="Arial" w:eastAsia="Arial"/>
          <w:i w:val="true"/>
          <w:color w:val="000000"/>
          <w:spacing w:val="0"/>
          <w:w w:val="100"/>
          <w:sz w:val="28"/>
          <w:u w:val="single"/>
          <w:vertAlign w:val="baseline"/>
          <w:lang w:val="en-US"/>
        </w:rPr>
        <w:t xml:space="preserve">Select appropriate alternative:</w:t>
      </w:r>
    </w:p>
    <w:p>
      <w:pPr>
        <w:pageBreakBefore w:val="false"/>
        <w:spacing w:before="399" w:after="0" w:line="40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person with whom the defendant engaged in sexual conduct;</w:t>
      </w:r>
    </w:p>
    <w:p>
      <w:pPr>
        <w:pageBreakBefore w:val="false"/>
        <w:spacing w:before="402" w:after="0" w:line="40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person with whom the defendant was to have engaged in sexual conduct pursuant to the understanding;</w:t>
      </w:r>
    </w:p>
    <w:p>
      <w:pPr>
        <w:pageBreakBefore w:val="false"/>
        <w:spacing w:before="490" w:after="0" w:line="317" w:lineRule="exact"/>
        <w:ind w:right="0" w:left="1440" w:firstLine="0"/>
        <w:jc w:val="both"/>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the person who was solicited or requested by the</w:t>
      </w:r>
    </w:p>
    <w:p>
      <w:pPr>
        <w:pageBreakBefore w:val="false"/>
        <w:spacing w:before="87" w:after="0" w:line="317"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to engage in sexual conduct.</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402" w:after="456" w:line="40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 erection of the penis, emission, or orgasm. </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252" w:after="0" w:line="273"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pict>
          <v:line strokeweight="0.95pt" strokecolor="#000000" from="108pt,615.35pt" to="252.05pt,615.35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Penal Law § 230.02 (1).</w:t>
      </w:r>
    </w:p>
    <w:p>
      <w:pPr>
        <w:pageBreakBefore w:val="false"/>
        <w:spacing w:before="259" w:after="0" w:line="25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2"/>
          <w:vertAlign w:val="baseline"/>
          <w:lang w:val="en-US"/>
        </w:rPr>
        <w:t xml:space="preserve"> Penal Law § 230.02 (2).</w:t>
      </w:r>
    </w:p>
    <w:p>
      <w:pPr>
        <w:pageBreakBefore w:val="false"/>
        <w:spacing w:before="256" w:after="0" w:line="274" w:lineRule="exact"/>
        <w:ind w:right="0" w:left="0" w:firstLine="0"/>
        <w:jc w:val="both"/>
        <w:textAlignment w:val="baseline"/>
        <w:rPr>
          <w:rFonts w:ascii="Times New Roman" w:hAnsi="Times New Roman" w:eastAsia="Times New Roman"/>
          <w:color w:val="000000"/>
          <w:spacing w:val="-3"/>
          <w:w w:val="100"/>
          <w:sz w:val="14"/>
          <w:vertAlign w:val="superscript"/>
          <w:lang w:val="en-US"/>
        </w:rPr>
      </w:pPr>
      <w:r>
        <w:rPr>
          <w:rFonts w:ascii="Times New Roman" w:hAnsi="Times New Roman" w:eastAsia="Times New Roman"/>
          <w:color w:val="000000"/>
          <w:spacing w:val="-3"/>
          <w:w w:val="100"/>
          <w:sz w:val="14"/>
          <w:vertAlign w:val="superscript"/>
          <w:lang w:val="en-US"/>
        </w:rPr>
        <w:t xml:space="preserve">4</w:t>
      </w:r>
      <w:r>
        <w:rPr>
          <w:rFonts w:ascii="Arial" w:hAnsi="Arial" w:eastAsia="Arial"/>
          <w:color w:val="000000"/>
          <w:spacing w:val="-3"/>
          <w:w w:val="100"/>
          <w:sz w:val="24"/>
          <w:vertAlign w:val="baseline"/>
          <w:lang w:val="en-US"/>
        </w:rPr>
        <w:t xml:space="preserve"> The statutory definition has been amplified to accord with decisional law. </w:t>
      </w:r>
      <w:r>
        <w:rPr>
          <w:rFonts w:ascii="Arial" w:hAnsi="Arial" w:eastAsia="Arial"/>
          <w:i w:val="true"/>
          <w:color w:val="000000"/>
          <w:spacing w:val="-3"/>
          <w:w w:val="100"/>
          <w:sz w:val="24"/>
          <w:vertAlign w:val="baseline"/>
          <w:lang w:val="en-US"/>
        </w:rPr>
        <w:t xml:space="preserve">See </w:t>
      </w:r>
      <w:r>
        <w:rPr>
          <w:rFonts w:ascii="Arial" w:hAnsi="Arial" w:eastAsia="Arial"/>
          <w:color w:val="000000"/>
          <w:spacing w:val="-3"/>
          <w:w w:val="100"/>
          <w:sz w:val="24"/>
          <w:vertAlign w:val="baseline"/>
          <w:lang w:val="en-US"/>
        </w:rPr>
        <w:t xml:space="preserve">Penal Law § 130.00(1) and </w:t>
      </w:r>
      <w:r>
        <w:rPr>
          <w:rFonts w:ascii="Arial" w:hAnsi="Arial" w:eastAsia="Arial"/>
          <w:i w:val="true"/>
          <w:color w:val="000000"/>
          <w:spacing w:val="-3"/>
          <w:w w:val="100"/>
          <w:sz w:val="24"/>
          <w:vertAlign w:val="baseline"/>
          <w:lang w:val="en-US"/>
        </w:rPr>
        <w:t xml:space="preserve">People v Liberta</w:t>
      </w:r>
      <w:r>
        <w:rPr>
          <w:rFonts w:ascii="Arial" w:hAnsi="Arial" w:eastAsia="Arial"/>
          <w:color w:val="000000"/>
          <w:spacing w:val="-3"/>
          <w:w w:val="100"/>
          <w:sz w:val="24"/>
          <w:vertAlign w:val="baseline"/>
          <w:lang w:val="en-US"/>
        </w:rPr>
        <w:t xml:space="preserve">, 64 NY2d 152, 169 (1984); </w:t>
      </w:r>
      <w:r>
        <w:rPr>
          <w:rFonts w:ascii="Arial" w:hAnsi="Arial" w:eastAsia="Arial"/>
          <w:i w:val="true"/>
          <w:color w:val="000000"/>
          <w:spacing w:val="-3"/>
          <w:w w:val="100"/>
          <w:sz w:val="24"/>
          <w:vertAlign w:val="baseline"/>
          <w:lang w:val="en-US"/>
        </w:rPr>
        <w:t xml:space="preserve">People v. Edwards, </w:t>
      </w:r>
      <w:r>
        <w:rPr>
          <w:rFonts w:ascii="Arial" w:hAnsi="Arial" w:eastAsia="Arial"/>
          <w:color w:val="000000"/>
          <w:spacing w:val="-3"/>
          <w:w w:val="100"/>
          <w:sz w:val="24"/>
          <w:vertAlign w:val="baseline"/>
          <w:lang w:val="en-US"/>
        </w:rPr>
        <w:t xml:space="preserve">173 A.D. 375 (2d Dept. 1916); </w:t>
      </w:r>
      <w:r>
        <w:rPr>
          <w:rFonts w:ascii="Arial" w:hAnsi="Arial" w:eastAsia="Arial"/>
          <w:i w:val="true"/>
          <w:color w:val="000000"/>
          <w:spacing w:val="-3"/>
          <w:w w:val="100"/>
          <w:sz w:val="24"/>
          <w:vertAlign w:val="baseline"/>
          <w:lang w:val="en-US"/>
        </w:rPr>
        <w:t xml:space="preserve">People v. Berardicurti</w:t>
      </w:r>
      <w:r>
        <w:rPr>
          <w:rFonts w:ascii="Arial" w:hAnsi="Arial" w:eastAsia="Arial"/>
          <w:color w:val="000000"/>
          <w:spacing w:val="-3"/>
          <w:w w:val="100"/>
          <w:sz w:val="24"/>
          <w:vertAlign w:val="baseline"/>
          <w:lang w:val="en-US"/>
        </w:rPr>
        <w:t xml:space="preserve">, 167 A.D.2d 840 (4</w:t>
      </w:r>
      <w:r>
        <w:rPr>
          <w:rFonts w:ascii="Arial" w:hAnsi="Arial" w:eastAsia="Arial"/>
          <w:color w:val="000000"/>
          <w:spacing w:val="-3"/>
          <w:w w:val="100"/>
          <w:sz w:val="24"/>
          <w:vertAlign w:val="superscript"/>
          <w:lang w:val="en-US"/>
        </w:rPr>
        <w:t xml:space="preserve">th</w:t>
      </w:r>
      <w:r>
        <w:rPr>
          <w:rFonts w:ascii="Arial" w:hAnsi="Arial" w:eastAsia="Arial"/>
          <w:color w:val="000000"/>
          <w:spacing w:val="-3"/>
          <w:w w:val="100"/>
          <w:sz w:val="24"/>
          <w:vertAlign w:val="baseline"/>
          <w:lang w:val="en-US"/>
        </w:rPr>
        <w:t xml:space="preserve"> Dept. 1990); </w:t>
      </w:r>
      <w:r>
        <w:rPr>
          <w:rFonts w:ascii="Arial" w:hAnsi="Arial" w:eastAsia="Arial"/>
          <w:i w:val="true"/>
          <w:color w:val="000000"/>
          <w:spacing w:val="-3"/>
          <w:w w:val="100"/>
          <w:sz w:val="24"/>
          <w:vertAlign w:val="baseline"/>
          <w:lang w:val="en-US"/>
        </w:rPr>
        <w:t xml:space="preserve">People v. White</w:t>
      </w:r>
      <w:r>
        <w:rPr>
          <w:rFonts w:ascii="Arial" w:hAnsi="Arial" w:eastAsia="Arial"/>
          <w:color w:val="000000"/>
          <w:spacing w:val="-3"/>
          <w:w w:val="100"/>
          <w:sz w:val="24"/>
          <w:vertAlign w:val="baseline"/>
          <w:lang w:val="en-US"/>
        </w:rPr>
        <w:t xml:space="preserve">, 185 A.D.2d 472 (3</w:t>
      </w:r>
      <w:r>
        <w:rPr>
          <w:rFonts w:ascii="Arial" w:hAnsi="Arial" w:eastAsia="Arial"/>
          <w:color w:val="000000"/>
          <w:spacing w:val="-3"/>
          <w:w w:val="100"/>
          <w:sz w:val="24"/>
          <w:vertAlign w:val="superscript"/>
          <w:lang w:val="en-US"/>
        </w:rPr>
        <w:t xml:space="preserve">rd</w:t>
      </w:r>
      <w:r>
        <w:rPr>
          <w:rFonts w:ascii="Arial" w:hAnsi="Arial" w:eastAsia="Arial"/>
          <w:color w:val="000000"/>
          <w:spacing w:val="-3"/>
          <w:w w:val="100"/>
          <w:sz w:val="14"/>
          <w:vertAlign w:val="baseline"/>
          <w:lang w:val="en-US"/>
        </w:rPr>
        <w:t xml:space="preserve">
</w:t>
      </w:r>
    </w:p>
    <w:p>
      <w:pPr>
        <w:pageBreakBefore w:val="false"/>
        <w:spacing w:before="251"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2 of 4</w:t>
      </w:r>
    </w:p>
    <w:p>
      <w:pPr>
        <w:sectPr>
          <w:type w:val="nextPage"/>
          <w:pgSz w:w="12240" w:h="15840" w:orient="portrait"/>
          <w:pgMar w:bottom="304" w:top="900" w:right="2140" w:left="2160" w:header="720" w:footer="720"/>
          <w:titlePg w:val="false"/>
          <w:textDirection w:val="lrTb"/>
        </w:sectPr>
      </w:pPr>
    </w:p>
    <w:p>
      <w:pPr>
        <w:pageBreakBefore w:val="false"/>
        <w:spacing w:before="0" w:after="0" w:line="374"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[ORAL SEXUAL CONDUCT means conduct between persons consisting of contact between the mouth and the penis, the mouth and the anus, or the mouth and the vulva or vagina.</w:t>
      </w:r>
      <w:r>
        <w:rPr>
          <w:rFonts w:ascii="Arial" w:hAnsi="Arial" w:eastAsia="Arial"/>
          <w:color w:val="000000"/>
          <w:spacing w:val="-1"/>
          <w:w w:val="100"/>
          <w:sz w:val="28"/>
          <w:vertAlign w:val="superscript"/>
          <w:lang w:val="en-US"/>
        </w:rPr>
        <w:t xml:space="preserve">5</w:t>
      </w:r>
      <w:r>
        <w:rPr>
          <w:rFonts w:ascii="Arial" w:hAnsi="Arial" w:eastAsia="Arial"/>
          <w:color w:val="000000"/>
          <w:spacing w:val="-1"/>
          <w:w w:val="100"/>
          <w:sz w:val="28"/>
          <w:vertAlign w:val="baseline"/>
          <w:lang w:val="en-US"/>
        </w:rPr>
        <w:t xml:space="preserve">]</w:t>
      </w:r>
    </w:p>
    <w:p>
      <w:pPr>
        <w:pageBreakBefore w:val="false"/>
        <w:spacing w:before="405" w:after="0" w:line="40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 SEXUAL CONDUCT means conduct between persons consisting of contact between the penis and anus.</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463" w:after="0" w:line="31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[AGGRAVATED SEXUAL CONDUCT</w:t>
      </w:r>
      <w:r>
        <w:rPr>
          <w:rFonts w:ascii="Arial" w:hAnsi="Arial" w:eastAsia="Arial"/>
          <w:i w:val="true"/>
          <w:color w:val="000000"/>
          <w:spacing w:val="0"/>
          <w:w w:val="100"/>
          <w:sz w:val="26"/>
          <w:vertAlign w:val="baseline"/>
          <w:lang w:val="en-US"/>
        </w:rPr>
        <w:t xml:space="preserve">:</w:t>
      </w:r>
    </w:p>
    <w:p>
      <w:pPr>
        <w:pageBreakBefore w:val="false"/>
        <w:spacing w:before="5" w:after="0" w:line="375" w:lineRule="exact"/>
        <w:ind w:right="0" w:left="720" w:firstLine="0"/>
        <w:jc w:val="both"/>
        <w:textAlignment w:val="baseline"/>
        <w:rPr>
          <w:rFonts w:ascii="Arial" w:hAnsi="Arial" w:eastAsia="Arial"/>
          <w:i w:val="true"/>
          <w:color w:val="000000"/>
          <w:spacing w:val="0"/>
          <w:w w:val="100"/>
          <w:sz w:val="26"/>
          <w:vertAlign w:val="baseline"/>
          <w:lang w:val="en-US"/>
        </w:rPr>
      </w:pPr>
      <w:r>
        <w:rPr>
          <w:rFonts w:ascii="Arial" w:hAnsi="Arial" w:eastAsia="Arial"/>
          <w:i w:val="true"/>
          <w:color w:val="000000"/>
          <w:spacing w:val="0"/>
          <w:w w:val="100"/>
          <w:sz w:val="26"/>
          <w:vertAlign w:val="baseline"/>
          <w:lang w:val="en-US"/>
        </w:rPr>
        <w:t xml:space="preserve">Note: The statute includes “aggravated sexual conduct,” as that term is “defined in [Penal Law] section 130.00.” Penal Law § 130.00, however, does not define the term “aggravated sexual </w:t>
      </w:r>
      <w:r>
        <w:rPr>
          <w:rFonts w:ascii="Arial" w:hAnsi="Arial" w:eastAsia="Arial"/>
          <w:b w:val="true"/>
          <w:i w:val="true"/>
          <w:color w:val="000000"/>
          <w:spacing w:val="0"/>
          <w:w w:val="100"/>
          <w:sz w:val="26"/>
          <w:u w:val="single"/>
          <w:vertAlign w:val="baseline"/>
          <w:lang w:val="en-US"/>
        </w:rPr>
        <w:t xml:space="preserve">conduct</w:t>
      </w:r>
      <w:r>
        <w:rPr>
          <w:rFonts w:ascii="Arial" w:hAnsi="Arial" w:eastAsia="Arial"/>
          <w:i w:val="true"/>
          <w:color w:val="000000"/>
          <w:spacing w:val="0"/>
          <w:w w:val="100"/>
          <w:sz w:val="26"/>
          <w:vertAlign w:val="baseline"/>
          <w:lang w:val="en-US"/>
        </w:rPr>
        <w:t xml:space="preserve">.” Rather, it defines the term “aggravated sexual </w:t>
      </w:r>
      <w:r>
        <w:rPr>
          <w:rFonts w:ascii="Arial" w:hAnsi="Arial" w:eastAsia="Arial"/>
          <w:b w:val="true"/>
          <w:i w:val="true"/>
          <w:color w:val="000000"/>
          <w:spacing w:val="0"/>
          <w:w w:val="100"/>
          <w:sz w:val="26"/>
          <w:vertAlign w:val="baseline"/>
          <w:lang w:val="en-US"/>
        </w:rPr>
        <w:t xml:space="preserve">contact</w:t>
      </w:r>
      <w:r>
        <w:rPr>
          <w:rFonts w:ascii="Arial" w:hAnsi="Arial" w:eastAsia="Arial"/>
          <w:i w:val="true"/>
          <w:color w:val="000000"/>
          <w:spacing w:val="0"/>
          <w:w w:val="100"/>
          <w:sz w:val="26"/>
          <w:vertAlign w:val="baseline"/>
          <w:lang w:val="en-US"/>
        </w:rPr>
        <w:t xml:space="preserve">.” If the Court decides that “aggravated sexual contact” should be charged, that definition is:</w:t>
      </w:r>
    </w:p>
    <w:p>
      <w:pPr>
        <w:pageBreakBefore w:val="false"/>
        <w:spacing w:before="353" w:after="0" w:line="375" w:lineRule="exact"/>
        <w:ind w:right="0" w:left="720" w:firstLine="0"/>
        <w:jc w:val="both"/>
        <w:textAlignment w:val="baseline"/>
        <w:rPr>
          <w:rFonts w:ascii="Arial" w:hAnsi="Arial" w:eastAsia="Arial"/>
          <w:i w:val="true"/>
          <w:color w:val="000000"/>
          <w:spacing w:val="0"/>
          <w:w w:val="100"/>
          <w:sz w:val="26"/>
          <w:vertAlign w:val="baseline"/>
          <w:lang w:val="en-US"/>
        </w:rPr>
      </w:pPr>
      <w:r>
        <w:rPr>
          <w:rFonts w:ascii="Arial" w:hAnsi="Arial" w:eastAsia="Arial"/>
          <w:i w:val="true"/>
          <w:color w:val="000000"/>
          <w:spacing w:val="0"/>
          <w:w w:val="100"/>
          <w:sz w:val="26"/>
          <w:vertAlign w:val="baseline"/>
          <w:lang w:val="en-US"/>
        </w:rPr>
        <w:t xml:space="preserve">"Aggravated sexual contact" means inserting, other than for a valid medical purpose, a foreign object in the vagina, urethra, penis, rectum or anus of a child, thereby causing physical injury to such child.</w:t>
      </w:r>
      <w:r>
        <w:rPr>
          <w:rFonts w:ascii="Arial" w:hAnsi="Arial" w:eastAsia="Arial"/>
          <w:i w:val="true"/>
          <w:color w:val="000000"/>
          <w:spacing w:val="0"/>
          <w:w w:val="100"/>
          <w:sz w:val="26"/>
          <w:vertAlign w:val="superscript"/>
          <w:lang w:val="en-US"/>
        </w:rPr>
        <w:t xml:space="preserve">7</w:t>
      </w:r>
      <w:r>
        <w:rPr>
          <w:rFonts w:ascii="Arial" w:hAnsi="Arial" w:eastAsia="Arial"/>
          <w:i w:val="true"/>
          <w:color w:val="000000"/>
          <w:spacing w:val="0"/>
          <w:w w:val="100"/>
          <w:sz w:val="16"/>
          <w:vertAlign w:val="baseline"/>
          <w:lang w:val="en-US"/>
        </w:rPr>
        <w:t xml:space="preserve">
</w:t>
      </w:r>
    </w:p>
    <w:p>
      <w:pPr>
        <w:pageBreakBefore w:val="false"/>
        <w:spacing w:before="376" w:after="0" w:line="375"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tabs>
          <w:tab w:val="right" w:leader="none" w:pos="7920"/>
        </w:tabs>
        <w:spacing w:before="443" w:after="0" w:line="299" w:lineRule="exact"/>
        <w:ind w:right="0" w:left="72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1.	</w:t>
      </w:r>
      <w:r>
        <w:rPr>
          <w:rFonts w:ascii="Arial" w:hAnsi="Arial" w:eastAsia="Arial"/>
          <w:color w:val="000000"/>
          <w:spacing w:val="0"/>
          <w:w w:val="100"/>
          <w:sz w:val="26"/>
          <w:vertAlign w:val="baseline"/>
          <w:lang w:val="en-US"/>
        </w:rPr>
        <w:t xml:space="preserve">That on or about </w:t>
      </w:r>
      <w:r>
        <w:rPr>
          <w:rFonts w:ascii="Arial" w:hAnsi="Arial" w:eastAsia="Arial"/>
          <w:color w:val="000000"/>
          <w:spacing w:val="0"/>
          <w:w w:val="100"/>
          <w:sz w:val="26"/>
          <w:u w:val="single"/>
          <w:vertAlign w:val="baseline"/>
          <w:lang w:val="en-US"/>
        </w:rPr>
        <w:t xml:space="preserve"> (</w:t>
      </w:r>
      <w:r>
        <w:rPr>
          <w:rFonts w:ascii="Arial" w:hAnsi="Arial" w:eastAsia="Arial"/>
          <w:i w:val="true"/>
          <w:color w:val="000000"/>
          <w:spacing w:val="0"/>
          <w:w w:val="100"/>
          <w:sz w:val="26"/>
          <w:u w:val="single"/>
          <w:vertAlign w:val="baseline"/>
          <w:lang w:val="en-US"/>
        </w:rPr>
        <w:t xml:space="preserve">date</w:t>
      </w:r>
      <w:r>
        <w:rPr>
          <w:rFonts w:ascii="Arial" w:hAnsi="Arial" w:eastAsia="Arial"/>
          <w:color w:val="000000"/>
          <w:spacing w:val="0"/>
          <w:w w:val="100"/>
          <w:sz w:val="26"/>
          <w:u w:val="single"/>
          <w:vertAlign w:val="baseline"/>
          <w:lang w:val="en-US"/>
        </w:rPr>
        <w:t xml:space="preserve">) </w:t>
      </w:r>
      <w:r>
        <w:rPr>
          <w:rFonts w:ascii="Arial" w:hAnsi="Arial" w:eastAsia="Arial"/>
          <w:color w:val="000000"/>
          <w:spacing w:val="0"/>
          <w:w w:val="100"/>
          <w:sz w:val="26"/>
          <w:vertAlign w:val="baseline"/>
          <w:lang w:val="en-US"/>
        </w:rPr>
        <w:t xml:space="preserve"> , in the County of </w:t>
      </w:r>
      <w:r>
        <w:rPr>
          <w:rFonts w:ascii="Arial" w:hAnsi="Arial" w:eastAsia="Arial"/>
          <w:color w:val="000000"/>
          <w:spacing w:val="0"/>
          <w:w w:val="100"/>
          <w:sz w:val="26"/>
          <w:u w:val="single"/>
          <w:vertAlign w:val="baseline"/>
          <w:lang w:val="en-US"/>
        </w:rPr>
        <w:t xml:space="preserve"> (County) </w:t>
      </w:r>
      <w:r>
        <w:rPr>
          <w:rFonts w:ascii="Arial" w:hAnsi="Arial" w:eastAsia="Arial"/>
          <w:color w:val="000000"/>
          <w:spacing w:val="0"/>
          <w:w w:val="100"/>
          <w:sz w:val="26"/>
          <w:vertAlign w:val="baseline"/>
          <w:lang w:val="en-US"/>
        </w:rPr>
        <w:t xml:space="preserve"> , the</w:t>
      </w:r>
    </w:p>
    <w:p>
      <w:pPr>
        <w:pageBreakBefore w:val="false"/>
        <w:spacing w:before="0" w:after="234" w:line="373" w:lineRule="exact"/>
        <w:ind w:right="0" w:left="144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defendant, </w:t>
      </w:r>
      <w:r>
        <w:rPr>
          <w:rFonts w:ascii="Arial" w:hAnsi="Arial" w:eastAsia="Arial"/>
          <w:color w:val="000000"/>
          <w:spacing w:val="0"/>
          <w:w w:val="100"/>
          <w:sz w:val="26"/>
          <w:u w:val="single"/>
          <w:vertAlign w:val="baseline"/>
          <w:lang w:val="en-US"/>
        </w:rPr>
        <w:t xml:space="preserve"> (</w:t>
      </w:r>
      <w:r>
        <w:rPr>
          <w:rFonts w:ascii="Arial" w:hAnsi="Arial" w:eastAsia="Arial"/>
          <w:i w:val="true"/>
          <w:color w:val="000000"/>
          <w:spacing w:val="0"/>
          <w:w w:val="100"/>
          <w:sz w:val="26"/>
          <w:u w:val="single"/>
          <w:vertAlign w:val="baseline"/>
          <w:lang w:val="en-US"/>
        </w:rPr>
        <w:t xml:space="preserve">defendant's name</w:t>
      </w:r>
      <w:r>
        <w:rPr>
          <w:rFonts w:ascii="Arial" w:hAnsi="Arial" w:eastAsia="Arial"/>
          <w:color w:val="000000"/>
          <w:spacing w:val="0"/>
          <w:w w:val="100"/>
          <w:sz w:val="26"/>
          <w:u w:val="single"/>
          <w:vertAlign w:val="baseline"/>
          <w:lang w:val="en-US"/>
        </w:rPr>
        <w:t xml:space="preserve">)</w:t>
      </w:r>
      <w:r>
        <w:rPr>
          <w:rFonts w:ascii="Arial" w:hAnsi="Arial" w:eastAsia="Arial"/>
          <w:color w:val="000000"/>
          <w:spacing w:val="0"/>
          <w:w w:val="100"/>
          <w:sz w:val="26"/>
          <w:vertAlign w:val="superscript"/>
          <w:lang w:val="en-US"/>
        </w:rPr>
        <w:t xml:space="preserve">8</w:t>
      </w:r>
      <w:r>
        <w:rPr>
          <w:rFonts w:ascii="Arial" w:hAnsi="Arial" w:eastAsia="Arial"/>
          <w:color w:val="000000"/>
          <w:spacing w:val="0"/>
          <w:w w:val="100"/>
          <w:sz w:val="26"/>
          <w:vertAlign w:val="baseline"/>
          <w:lang w:val="en-US"/>
        </w:rPr>
        <w:t xml:space="preserve"> was eighteen (18) years old or more;</w:t>
      </w:r>
    </w:p>
    <w:p>
      <w:pPr>
        <w:pageBreakBefore w:val="false"/>
        <w:spacing w:before="264" w:after="0" w:line="272" w:lineRule="exact"/>
        <w:ind w:right="0" w:left="0" w:firstLine="0"/>
        <w:jc w:val="left"/>
        <w:textAlignment w:val="baseline"/>
        <w:rPr>
          <w:rFonts w:ascii="Arial" w:hAnsi="Arial" w:eastAsia="Arial"/>
          <w:color w:val="000000"/>
          <w:spacing w:val="1"/>
          <w:w w:val="100"/>
          <w:sz w:val="24"/>
          <w:vertAlign w:val="baseline"/>
          <w:lang w:val="en-US"/>
        </w:rPr>
      </w:pPr>
      <w:r>
        <w:pict>
          <v:line strokeweight="1.2pt" strokecolor="#000000" from="107.65pt,573.6pt" to="252.05pt,573.6pt" style="position:absolute;mso-position-horizontal-relative:page;mso-position-vertical-relative:page;">
            <v:stroke dashstyle="solid"/>
          </v:line>
        </w:pict>
      </w:r>
      <w:r>
        <w:rPr>
          <w:rFonts w:ascii="Arial" w:hAnsi="Arial" w:eastAsia="Arial"/>
          <w:color w:val="000000"/>
          <w:spacing w:val="1"/>
          <w:w w:val="100"/>
          <w:sz w:val="24"/>
          <w:vertAlign w:val="baseline"/>
          <w:lang w:val="en-US"/>
        </w:rPr>
        <w:t xml:space="preserve">Dept. 1992); </w:t>
      </w:r>
      <w:r>
        <w:rPr>
          <w:rFonts w:ascii="Arial" w:hAnsi="Arial" w:eastAsia="Arial"/>
          <w:i w:val="true"/>
          <w:color w:val="000000"/>
          <w:spacing w:val="1"/>
          <w:w w:val="100"/>
          <w:sz w:val="24"/>
          <w:vertAlign w:val="baseline"/>
          <w:lang w:val="en-US"/>
        </w:rPr>
        <w:t xml:space="preserve">People v. Williams</w:t>
      </w:r>
      <w:r>
        <w:rPr>
          <w:rFonts w:ascii="Arial" w:hAnsi="Arial" w:eastAsia="Arial"/>
          <w:color w:val="000000"/>
          <w:spacing w:val="1"/>
          <w:w w:val="100"/>
          <w:sz w:val="24"/>
          <w:vertAlign w:val="baseline"/>
          <w:lang w:val="en-US"/>
        </w:rPr>
        <w:t xml:space="preserve">, 259 A.D.2d 509 (2d Dept. 1999).</w:t>
      </w:r>
    </w:p>
    <w:p>
      <w:pPr>
        <w:pageBreakBefore w:val="false"/>
        <w:spacing w:before="265" w:after="0" w:line="281" w:lineRule="exact"/>
        <w:ind w:right="0" w:left="0" w:firstLine="0"/>
        <w:jc w:val="left"/>
        <w:textAlignment w:val="baseline"/>
        <w:rPr>
          <w:rFonts w:ascii="Times New Roman" w:hAnsi="Times New Roman" w:eastAsia="Times New Roman"/>
          <w:color w:val="000000"/>
          <w:spacing w:val="0"/>
          <w:w w:val="100"/>
          <w:sz w:val="16"/>
          <w:vertAlign w:val="superscript"/>
          <w:lang w:val="en-US"/>
        </w:rPr>
      </w:pPr>
      <w:r>
        <w:rPr>
          <w:rFonts w:ascii="Times New Roman" w:hAnsi="Times New Roman" w:eastAsia="Times New Roman"/>
          <w:color w:val="000000"/>
          <w:spacing w:val="0"/>
          <w:w w:val="100"/>
          <w:sz w:val="16"/>
          <w:vertAlign w:val="superscript"/>
          <w:lang w:val="en-US"/>
        </w:rPr>
        <w:t xml:space="preserve">5</w:t>
      </w:r>
      <w:r>
        <w:rPr>
          <w:rFonts w:ascii="Arial" w:hAnsi="Arial" w:eastAsia="Arial"/>
          <w:color w:val="000000"/>
          <w:spacing w:val="0"/>
          <w:w w:val="100"/>
          <w:sz w:val="24"/>
          <w:vertAlign w:val="baseline"/>
          <w:lang w:val="en-US"/>
        </w:rPr>
        <w:t xml:space="preserve"> Penal Law § 130.00 (2)(a)</w:t>
      </w:r>
      <w:r>
        <w:rPr>
          <w:rFonts w:ascii="Times New Roman" w:hAnsi="Times New Roman" w:eastAsia="Times New Roman"/>
          <w:color w:val="000000"/>
          <w:spacing w:val="0"/>
          <w:w w:val="100"/>
          <w:sz w:val="24"/>
          <w:vertAlign w:val="baseline"/>
          <w:lang w:val="en-US"/>
        </w:rPr>
        <w:t xml:space="preserve">.</w:t>
      </w:r>
    </w:p>
    <w:p>
      <w:pPr>
        <w:pageBreakBefore w:val="false"/>
        <w:spacing w:before="242" w:after="0" w:line="273"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Penal Law § 130.00 (2)(b).</w:t>
      </w:r>
    </w:p>
    <w:p>
      <w:pPr>
        <w:pageBreakBefore w:val="false"/>
        <w:spacing w:before="246" w:after="0" w:line="272"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Penal Law § 130.00(11).</w:t>
      </w:r>
    </w:p>
    <w:p>
      <w:pPr>
        <w:pageBreakBefore w:val="false"/>
        <w:spacing w:before="275" w:after="0" w:line="281" w:lineRule="exact"/>
        <w:ind w:right="0" w:left="0" w:firstLine="0"/>
        <w:jc w:val="both"/>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When the defendant is charged in whole or in part as an accomplice, insert: “personally, or by acting in concert with another person.”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Accomplice charge.</w:t>
      </w:r>
    </w:p>
    <w:p>
      <w:pPr>
        <w:pageBreakBefore w:val="false"/>
        <w:spacing w:before="247"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3 of 4</w:t>
      </w:r>
    </w:p>
    <w:p>
      <w:pPr>
        <w:sectPr>
          <w:type w:val="nextPage"/>
          <w:pgSz w:w="12240" w:h="15840" w:orient="portrait"/>
          <w:pgMar w:bottom="304" w:top="1000" w:right="2119" w:left="2153" w:header="720" w:footer="720"/>
          <w:titlePg w:val="false"/>
          <w:textDirection w:val="lrTb"/>
        </w:sectPr>
      </w:pPr>
    </w:p>
    <w:p>
      <w:pPr>
        <w:pageBreakBefore w:val="false"/>
        <w:numPr>
          <w:ilvl w:val="0"/>
          <w:numId w:val="1"/>
        </w:numPr>
        <w:tabs>
          <w:tab w:val="clear" w:pos="648"/>
          <w:tab w:val="left" w:pos="1440"/>
        </w:tabs>
        <w:spacing w:before="0" w:after="0" w:line="342" w:lineRule="exact"/>
        <w:ind w:right="0" w:left="1440" w:hanging="648"/>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the defendant patronized a person for prostitution and that person was less than fifteen (15) years old; and</w:t>
      </w:r>
    </w:p>
    <w:p>
      <w:pPr>
        <w:pageBreakBefore w:val="false"/>
        <w:numPr>
          <w:ilvl w:val="0"/>
          <w:numId w:val="1"/>
        </w:numPr>
        <w:tabs>
          <w:tab w:val="clear" w:pos="648"/>
          <w:tab w:val="left" w:pos="1440"/>
        </w:tabs>
        <w:spacing w:before="449" w:after="0" w:line="295" w:lineRule="exact"/>
        <w:ind w:right="0" w:left="1440" w:hanging="648"/>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the defendant engaged in:</w:t>
      </w:r>
    </w:p>
    <w:p>
      <w:pPr>
        <w:pageBreakBefore w:val="false"/>
        <w:spacing w:before="449" w:after="0" w:line="297" w:lineRule="exact"/>
        <w:ind w:right="0" w:left="2160"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alternative(s):</w:t>
      </w:r>
    </w:p>
    <w:p>
      <w:pPr>
        <w:pageBreakBefore w:val="false"/>
        <w:spacing w:before="78" w:after="0" w:line="295" w:lineRule="exact"/>
        <w:ind w:right="0" w:left="216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sexual intercourse [or]</w:t>
      </w:r>
    </w:p>
    <w:p>
      <w:pPr>
        <w:pageBreakBefore w:val="false"/>
        <w:spacing w:before="74" w:after="0" w:line="295" w:lineRule="exact"/>
        <w:ind w:right="0" w:left="216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oral sexual conduct [or]</w:t>
      </w:r>
    </w:p>
    <w:p>
      <w:pPr>
        <w:pageBreakBefore w:val="false"/>
        <w:spacing w:before="75" w:after="0" w:line="295" w:lineRule="exact"/>
        <w:ind w:right="0" w:left="216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anal sexual conduct [or]</w:t>
      </w:r>
    </w:p>
    <w:p>
      <w:pPr>
        <w:pageBreakBefore w:val="false"/>
        <w:spacing w:before="380" w:after="0" w:line="369" w:lineRule="exact"/>
        <w:ind w:right="0" w:left="216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[aggravated sexual conduct /</w:t>
        <w:br/>
      </w:r>
      <w:r>
        <w:rPr>
          <w:rFonts w:ascii="Arial" w:hAnsi="Arial" w:eastAsia="Arial"/>
          <w:color w:val="000000"/>
          <w:spacing w:val="0"/>
          <w:w w:val="100"/>
          <w:sz w:val="26"/>
          <w:vertAlign w:val="baseline"/>
          <w:lang w:val="en-US"/>
        </w:rPr>
        <w:t xml:space="preserve">aggravated sexual contact]</w:t>
      </w:r>
    </w:p>
    <w:p>
      <w:pPr>
        <w:pageBreakBefore w:val="false"/>
        <w:spacing w:before="449" w:after="0" w:line="295" w:lineRule="exact"/>
        <w:ind w:right="0" w:left="144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with the person patronized.</w:t>
      </w:r>
    </w:p>
    <w:p>
      <w:pPr>
        <w:pageBreakBefore w:val="false"/>
        <w:spacing w:before="372" w:after="0" w:line="372" w:lineRule="exact"/>
        <w:ind w:right="0" w:left="0" w:firstLine="720"/>
        <w:jc w:val="both"/>
        <w:textAlignment w:val="baseline"/>
        <w:rPr>
          <w:rFonts w:ascii="Arial" w:hAnsi="Arial" w:eastAsia="Arial"/>
          <w:color w:val="000018"/>
          <w:spacing w:val="0"/>
          <w:w w:val="100"/>
          <w:sz w:val="26"/>
          <w:vertAlign w:val="baseline"/>
          <w:lang w:val="en-US"/>
        </w:rPr>
      </w:pPr>
      <w:r>
        <w:rPr>
          <w:rFonts w:ascii="Arial" w:hAnsi="Arial" w:eastAsia="Arial"/>
          <w:color w:val="000018"/>
          <w:spacing w:val="0"/>
          <w:w w:val="100"/>
          <w:sz w:val="26"/>
          <w:vertAlign w:val="baseline"/>
          <w:lang w:val="en-US"/>
        </w:rPr>
        <w:t xml:space="preserve">If you find the People have proven beyond a reasonable doubt each of those elements, you must find the defendant guilty of this crime.</w:t>
      </w:r>
    </w:p>
    <w:p>
      <w:pPr>
        <w:pageBreakBefore w:val="false"/>
        <w:spacing w:before="372" w:after="5827" w:line="372" w:lineRule="exact"/>
        <w:ind w:right="0" w:left="0" w:firstLine="720"/>
        <w:jc w:val="both"/>
        <w:textAlignment w:val="baseline"/>
        <w:rPr>
          <w:rFonts w:ascii="Arial" w:hAnsi="Arial" w:eastAsia="Arial"/>
          <w:color w:val="000018"/>
          <w:spacing w:val="0"/>
          <w:w w:val="100"/>
          <w:sz w:val="26"/>
          <w:vertAlign w:val="baseline"/>
          <w:lang w:val="en-US"/>
        </w:rPr>
      </w:pPr>
      <w:r>
        <w:rPr>
          <w:rFonts w:ascii="Arial" w:hAnsi="Arial" w:eastAsia="Arial"/>
          <w:color w:val="000018"/>
          <w:spacing w:val="0"/>
          <w:w w:val="100"/>
          <w:sz w:val="26"/>
          <w:vertAlign w:val="baseline"/>
          <w:lang w:val="en-US"/>
        </w:rPr>
        <w:t xml:space="preserve">If you find the People have not proven beyond a reasonable doubt any one or more of those elements, you must find the defendant not guilty of this crime.</w:t>
      </w:r>
    </w:p>
    <w:p>
      <w:pPr>
        <w:spacing w:before="372" w:after="5827" w:line="372" w:lineRule="exact"/>
        <w:sectPr>
          <w:type w:val="nextPage"/>
          <w:pgSz w:w="12240" w:h="15840" w:orient="portrait"/>
          <w:pgMar w:bottom="304" w:top="980" w:right="2131" w:left="2141" w:header="720" w:footer="720"/>
          <w:titlePg w:val="false"/>
          <w:textDirection w:val="lrTb"/>
        </w:sectPr>
      </w:pPr>
    </w:p>
    <w:p>
      <w:pPr>
        <w:pageBreakBefore w:val="false"/>
        <w:spacing w:before="0"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4 of 4</w:t>
      </w:r>
    </w:p>
    <w:sectPr>
      <w:type w:val="continuous"/>
      <w:pgSz w:w="12240" w:h="15840" w:orient="portrait"/>
      <w:pgMar w:bottom="304" w:top="980" w:right="2136" w:left="213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648"/>
        </w:tabs>
      </w:pPr>
      <w:rPr>
        <w:rFonts w:ascii="Arial" w:hAnsi="Arial" w:eastAsia="Arial"/>
        <w:color w:val="000000"/>
        <w:spacing w:val="0"/>
        <w:w w:val="100"/>
        <w:sz w:val="26"/>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