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95995" w14:textId="77777777" w:rsidR="009E12A0" w:rsidRDefault="00CF4AEA">
      <w:pPr>
        <w:spacing w:before="6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AFFIRMATIVE DEFENSE </w:t>
      </w:r>
      <w:r>
        <w:rPr>
          <w:rFonts w:ascii="Arial" w:eastAsia="Arial" w:hAnsi="Arial"/>
          <w:b/>
          <w:color w:val="000000"/>
          <w:sz w:val="28"/>
        </w:rPr>
        <w:br/>
        <w:t>[Penal Law § 230.01]</w:t>
      </w:r>
    </w:p>
    <w:p w14:paraId="44695996" w14:textId="77777777" w:rsidR="009E12A0" w:rsidRDefault="00CF4AEA">
      <w:pPr>
        <w:spacing w:before="325" w:line="321" w:lineRule="exact"/>
        <w:ind w:right="576"/>
        <w:textAlignment w:val="baseline"/>
        <w:rPr>
          <w:rFonts w:ascii="Arial" w:eastAsia="Arial" w:hAnsi="Arial"/>
          <w:i/>
          <w:color w:val="000000"/>
          <w:sz w:val="28"/>
        </w:rPr>
      </w:pPr>
      <w:r>
        <w:rPr>
          <w:rFonts w:ascii="Arial" w:eastAsia="Arial" w:hAnsi="Arial"/>
          <w:i/>
          <w:color w:val="000000"/>
          <w:sz w:val="28"/>
        </w:rPr>
        <w:t>Note: This affirmative defense is applicable to the following Penal Law sections, with the following effective dates:</w:t>
      </w:r>
    </w:p>
    <w:p w14:paraId="44695997" w14:textId="77777777" w:rsidR="009E12A0" w:rsidRDefault="00CF4AEA">
      <w:pPr>
        <w:spacing w:before="327" w:line="319" w:lineRule="exact"/>
        <w:textAlignment w:val="baseline"/>
        <w:rPr>
          <w:rFonts w:ascii="Arial" w:eastAsia="Arial" w:hAnsi="Arial"/>
          <w:i/>
          <w:color w:val="000000"/>
          <w:spacing w:val="1"/>
          <w:sz w:val="28"/>
          <w:u w:val="single"/>
        </w:rPr>
      </w:pPr>
      <w:r>
        <w:rPr>
          <w:rFonts w:ascii="Arial" w:eastAsia="Arial" w:hAnsi="Arial"/>
          <w:i/>
          <w:color w:val="000000"/>
          <w:spacing w:val="1"/>
          <w:sz w:val="28"/>
          <w:u w:val="single"/>
        </w:rPr>
        <w:t xml:space="preserve">Jan. 19, 2016: </w:t>
      </w:r>
    </w:p>
    <w:p w14:paraId="44695998" w14:textId="77777777" w:rsidR="009E12A0" w:rsidRDefault="00CF4AEA">
      <w:pPr>
        <w:spacing w:line="322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§ 230.00 (Prostitution)</w:t>
      </w:r>
    </w:p>
    <w:p w14:paraId="44695999" w14:textId="77777777" w:rsidR="009E12A0" w:rsidRDefault="00CF4AEA">
      <w:pPr>
        <w:spacing w:before="3" w:line="324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§ 230.03 (Prostitution in a school zone)</w:t>
      </w:r>
    </w:p>
    <w:p w14:paraId="4469599C" w14:textId="77777777" w:rsidR="009E12A0" w:rsidRDefault="00CF4AEA">
      <w:pPr>
        <w:spacing w:before="323" w:line="319" w:lineRule="exact"/>
        <w:textAlignment w:val="baseline"/>
        <w:rPr>
          <w:rFonts w:ascii="Arial" w:eastAsia="Arial" w:hAnsi="Arial"/>
          <w:i/>
          <w:color w:val="000000"/>
          <w:spacing w:val="1"/>
          <w:sz w:val="28"/>
          <w:u w:val="single"/>
        </w:rPr>
      </w:pPr>
      <w:r>
        <w:rPr>
          <w:rFonts w:ascii="Arial" w:eastAsia="Arial" w:hAnsi="Arial"/>
          <w:i/>
          <w:color w:val="000000"/>
          <w:spacing w:val="1"/>
          <w:sz w:val="28"/>
          <w:u w:val="single"/>
        </w:rPr>
        <w:t xml:space="preserve">Nov. 13, 2018: </w:t>
      </w:r>
    </w:p>
    <w:p w14:paraId="4469599D" w14:textId="77777777" w:rsidR="009E12A0" w:rsidRDefault="00CF4AEA">
      <w:pPr>
        <w:spacing w:line="323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§ 230.19 (Promoting prostitution in a school zone)</w:t>
      </w:r>
    </w:p>
    <w:p w14:paraId="4469599E" w14:textId="77777777" w:rsidR="009E12A0" w:rsidRDefault="00CF4AEA">
      <w:pPr>
        <w:spacing w:line="321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§ 230.20 (Promoting prostitution in the fourth degree)</w:t>
      </w:r>
    </w:p>
    <w:p w14:paraId="4469599F" w14:textId="77777777" w:rsidR="009E12A0" w:rsidRDefault="00CF4AEA">
      <w:pPr>
        <w:spacing w:before="3" w:line="324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§ 230.25(2) (Promoting prostitution in the third degree)</w:t>
      </w:r>
    </w:p>
    <w:p w14:paraId="446959A0" w14:textId="77777777" w:rsidR="009E12A0" w:rsidRDefault="00CF4AEA">
      <w:pPr>
        <w:spacing w:before="2" w:line="324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§ 230.30(2) (Promoting prostitution in the second degree</w:t>
      </w:r>
      <w:r>
        <w:rPr>
          <w:rFonts w:ascii="Arial" w:eastAsia="Arial" w:hAnsi="Arial"/>
          <w:color w:val="000000"/>
          <w:sz w:val="28"/>
        </w:rPr>
        <w:t>)</w:t>
      </w:r>
    </w:p>
    <w:p w14:paraId="446959A1" w14:textId="2EFACD48" w:rsidR="009E12A0" w:rsidRDefault="00CF4AEA">
      <w:pPr>
        <w:spacing w:after="626" w:line="322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§ 230.34-a (Sex trafficking of a child)</w:t>
      </w:r>
    </w:p>
    <w:p w14:paraId="77CF4475" w14:textId="77777777" w:rsidR="004A171B" w:rsidRDefault="00CF4AEA">
      <w:pPr>
        <w:spacing w:before="359" w:after="309" w:line="321" w:lineRule="exact"/>
        <w:ind w:left="1440" w:right="1944"/>
        <w:textAlignment w:val="baseline"/>
        <w:rPr>
          <w:rFonts w:ascii="Arial" w:eastAsia="Arial" w:hAnsi="Arial"/>
          <w:color w:val="000000"/>
          <w:sz w:val="28"/>
        </w:rPr>
      </w:pPr>
      <w:r>
        <w:pict w14:anchorId="446959BA">
          <v:line id="_x0000_s1029" style="position:absolute;left:0;text-align:left;z-index:251656192;mso-position-horizontal-relative:page;mso-position-vertical-relative:page" from="198pt,396.25pt" to="414.3pt,396.25pt" strokeweight="1.2pt">
            <w10:wrap anchorx="page" anchory="page"/>
          </v:line>
        </w:pict>
      </w:r>
    </w:p>
    <w:p w14:paraId="446959A2" w14:textId="509C1AB6" w:rsidR="009E12A0" w:rsidRDefault="00CF4AEA" w:rsidP="004A171B">
      <w:pPr>
        <w:spacing w:before="359" w:after="309" w:line="321" w:lineRule="exact"/>
        <w:ind w:left="720" w:right="288"/>
        <w:textAlignment w:val="baseline"/>
        <w:rPr>
          <w:rFonts w:ascii="Arial" w:eastAsia="Arial" w:hAnsi="Arial"/>
          <w:i/>
          <w:color w:val="000000"/>
          <w:sz w:val="28"/>
        </w:rPr>
      </w:pPr>
      <w:r>
        <w:rPr>
          <w:rFonts w:ascii="Arial" w:eastAsia="Arial" w:hAnsi="Arial"/>
          <w:i/>
          <w:color w:val="000000"/>
          <w:sz w:val="28"/>
        </w:rPr>
        <w:t>Note: If applicable, omit the final two paragraphs</w:t>
      </w:r>
      <w:r w:rsidR="004A171B">
        <w:rPr>
          <w:rFonts w:ascii="Arial" w:eastAsia="Arial" w:hAnsi="Arial"/>
          <w:i/>
          <w:color w:val="000000"/>
          <w:sz w:val="28"/>
        </w:rPr>
        <w:t xml:space="preserve"> </w:t>
      </w:r>
      <w:r>
        <w:rPr>
          <w:rFonts w:ascii="Arial" w:eastAsia="Arial" w:hAnsi="Arial"/>
          <w:i/>
          <w:color w:val="000000"/>
          <w:sz w:val="28"/>
        </w:rPr>
        <w:t>of the instructions of the crime charged, and substitute the following:</w:t>
      </w:r>
    </w:p>
    <w:p w14:paraId="446959A3" w14:textId="5060FEE8" w:rsidR="009E12A0" w:rsidRDefault="00CF4AEA" w:rsidP="009E1A46">
      <w:pPr>
        <w:spacing w:before="637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2"/>
          <w:sz w:val="28"/>
        </w:rPr>
      </w:pPr>
      <w:r>
        <w:pict w14:anchorId="446959BB">
          <v:line id="_x0000_s1028" style="position:absolute;left:0;text-align:left;z-index:251657216;mso-position-horizontal-relative:page;mso-position-vertical-relative:page" from="198pt,494.15pt" to="414.3pt,494.15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pacing w:val="2"/>
          <w:sz w:val="28"/>
        </w:rPr>
        <w:t>If you find that the People have not proven beyond a reasonable doubt (that element / one or more of those elements), you must find the defendant not guilty of</w:t>
      </w:r>
      <w:r>
        <w:rPr>
          <w:rFonts w:ascii="Arial" w:eastAsia="Arial" w:hAnsi="Arial"/>
          <w:color w:val="000000"/>
          <w:spacing w:val="2"/>
          <w:sz w:val="28"/>
        </w:rPr>
        <w:t xml:space="preserve"> (</w:t>
      </w:r>
      <w:r>
        <w:rPr>
          <w:rFonts w:ascii="Arial" w:eastAsia="Arial" w:hAnsi="Arial"/>
          <w:i/>
          <w:color w:val="000000"/>
          <w:spacing w:val="2"/>
          <w:sz w:val="28"/>
          <w:u w:val="single"/>
        </w:rPr>
        <w:t>specify</w:t>
      </w:r>
      <w:r>
        <w:rPr>
          <w:rFonts w:ascii="Arial" w:eastAsia="Arial" w:hAnsi="Arial"/>
          <w:color w:val="000000"/>
          <w:spacing w:val="2"/>
          <w:sz w:val="28"/>
        </w:rPr>
        <w:t>)</w:t>
      </w:r>
      <w:r w:rsidR="00FE3F12">
        <w:rPr>
          <w:rFonts w:ascii="Arial" w:eastAsia="Arial" w:hAnsi="Arial"/>
          <w:color w:val="000000"/>
          <w:spacing w:val="2"/>
          <w:sz w:val="28"/>
        </w:rPr>
        <w:t>.</w:t>
      </w:r>
    </w:p>
    <w:p w14:paraId="485C7577" w14:textId="77777777" w:rsidR="00FE3F12" w:rsidRDefault="00FE3F12">
      <w:pPr>
        <w:spacing w:before="362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</w:p>
    <w:p w14:paraId="446959A4" w14:textId="341FF08F" w:rsidR="009E12A0" w:rsidRDefault="00CF4AEA">
      <w:pPr>
        <w:spacing w:before="362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pict w14:anchorId="446959BC">
          <v:line id="_x0000_s1027" style="position:absolute;left:0;text-align:left;z-index:251658240;mso-position-horizontal-relative:page;mso-position-vertical-relative:page" from="107.75pt,590.9pt" to="155.1pt,590.9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z w:val="28"/>
        </w:rPr>
        <w:t xml:space="preserve">If you find that the People have proven beyond a reasonable doubt (that element </w:t>
      </w:r>
      <w:r>
        <w:rPr>
          <w:rFonts w:ascii="Arial" w:eastAsia="Arial" w:hAnsi="Arial"/>
          <w:i/>
          <w:color w:val="000000"/>
          <w:sz w:val="28"/>
        </w:rPr>
        <w:t xml:space="preserve">/ </w:t>
      </w:r>
      <w:r>
        <w:rPr>
          <w:rFonts w:ascii="Arial" w:eastAsia="Arial" w:hAnsi="Arial"/>
          <w:color w:val="000000"/>
          <w:sz w:val="28"/>
        </w:rPr>
        <w:t>each of those elements), you must consider an affirmative defense the defendant has raised. Remember, if you have already found the defendant not guilty of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), you wil</w:t>
      </w:r>
      <w:r>
        <w:rPr>
          <w:rFonts w:ascii="Arial" w:eastAsia="Arial" w:hAnsi="Arial"/>
          <w:color w:val="000000"/>
          <w:sz w:val="28"/>
        </w:rPr>
        <w:t>l not consider the affirmative defense.</w:t>
      </w:r>
    </w:p>
    <w:p w14:paraId="446959A5" w14:textId="77777777" w:rsidR="009E12A0" w:rsidRDefault="009E12A0">
      <w:pPr>
        <w:sectPr w:rsidR="009E12A0">
          <w:pgSz w:w="12240" w:h="15840"/>
          <w:pgMar w:top="1440" w:right="2145" w:bottom="1644" w:left="2155" w:header="720" w:footer="0" w:gutter="0"/>
          <w:cols w:space="720"/>
        </w:sectPr>
      </w:pPr>
    </w:p>
    <w:p w14:paraId="446959A6" w14:textId="77777777" w:rsidR="009E12A0" w:rsidRDefault="00CF4AEA">
      <w:pPr>
        <w:spacing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lastRenderedPageBreak/>
        <w:pict w14:anchorId="446959BD">
          <v:line id="_x0000_s1026" style="position:absolute;left:0;text-align:left;z-index:251659264;mso-position-horizontal-relative:page;mso-position-vertical-relative:page" from="108pt,511.9pt" to="252.05pt,511.9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z w:val="28"/>
        </w:rPr>
        <w:t>Under our law, it is an affirmative defense to this charge of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 that the defendant’s participation in the offense was a result of having been:</w:t>
      </w:r>
    </w:p>
    <w:p w14:paraId="446959A7" w14:textId="77777777" w:rsidR="009E12A0" w:rsidRDefault="00CF4AEA">
      <w:pPr>
        <w:spacing w:before="326" w:line="320" w:lineRule="exact"/>
        <w:textAlignment w:val="baseline"/>
        <w:rPr>
          <w:rFonts w:ascii="Arial" w:eastAsia="Arial" w:hAnsi="Arial"/>
          <w:i/>
          <w:color w:val="000000"/>
          <w:spacing w:val="-1"/>
          <w:sz w:val="28"/>
        </w:rPr>
      </w:pPr>
      <w:r>
        <w:rPr>
          <w:rFonts w:ascii="Arial" w:eastAsia="Arial" w:hAnsi="Arial"/>
          <w:i/>
          <w:color w:val="000000"/>
          <w:spacing w:val="-1"/>
          <w:sz w:val="28"/>
        </w:rPr>
        <w:t>Select appropriate alternative(s)</w:t>
      </w:r>
      <w:r>
        <w:rPr>
          <w:rFonts w:ascii="Arial" w:eastAsia="Arial" w:hAnsi="Arial"/>
          <w:color w:val="000000"/>
          <w:spacing w:val="-1"/>
          <w:sz w:val="28"/>
        </w:rPr>
        <w:t xml:space="preserve">: </w:t>
      </w:r>
      <w:r>
        <w:rPr>
          <w:rFonts w:ascii="Arial" w:eastAsia="Arial" w:hAnsi="Arial"/>
          <w:color w:val="000000"/>
          <w:spacing w:val="-1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pacing w:val="-1"/>
          <w:sz w:val="17"/>
        </w:rPr>
        <w:t xml:space="preserve"> </w:t>
      </w:r>
    </w:p>
    <w:p w14:paraId="446959A8" w14:textId="77777777" w:rsidR="009E12A0" w:rsidRDefault="00CF4AEA">
      <w:pPr>
        <w:spacing w:before="329" w:line="317" w:lineRule="exact"/>
        <w:textAlignment w:val="baseline"/>
        <w:rPr>
          <w:rFonts w:ascii="Arial" w:eastAsia="Arial" w:hAnsi="Arial"/>
          <w:color w:val="000000"/>
          <w:spacing w:val="-1"/>
          <w:sz w:val="28"/>
        </w:rPr>
      </w:pPr>
      <w:r>
        <w:rPr>
          <w:rFonts w:ascii="Arial" w:eastAsia="Arial" w:hAnsi="Arial"/>
          <w:color w:val="000000"/>
          <w:spacing w:val="-1"/>
          <w:sz w:val="28"/>
        </w:rPr>
        <w:t>a victim of compelling prostitution,</w:t>
      </w:r>
      <w:r>
        <w:rPr>
          <w:rFonts w:ascii="Arial" w:eastAsia="Arial" w:hAnsi="Arial"/>
          <w:color w:val="000000"/>
          <w:spacing w:val="-1"/>
          <w:sz w:val="28"/>
          <w:vertAlign w:val="superscript"/>
        </w:rPr>
        <w:t>2</w:t>
      </w:r>
      <w:r>
        <w:rPr>
          <w:rFonts w:ascii="Arial" w:eastAsia="Arial" w:hAnsi="Arial"/>
          <w:color w:val="000000"/>
          <w:spacing w:val="-1"/>
          <w:sz w:val="17"/>
        </w:rPr>
        <w:t xml:space="preserve"> </w:t>
      </w:r>
    </w:p>
    <w:p w14:paraId="446959A9" w14:textId="77777777" w:rsidR="009E12A0" w:rsidRDefault="00CF4AEA">
      <w:pPr>
        <w:spacing w:before="4" w:line="318" w:lineRule="exact"/>
        <w:textAlignment w:val="baseline"/>
        <w:rPr>
          <w:rFonts w:ascii="Arial" w:eastAsia="Arial" w:hAnsi="Arial"/>
          <w:color w:val="000000"/>
          <w:spacing w:val="-1"/>
          <w:sz w:val="28"/>
        </w:rPr>
      </w:pPr>
      <w:r>
        <w:rPr>
          <w:rFonts w:ascii="Arial" w:eastAsia="Arial" w:hAnsi="Arial"/>
          <w:color w:val="000000"/>
          <w:spacing w:val="-1"/>
          <w:sz w:val="28"/>
        </w:rPr>
        <w:t>a victim of sex trafficking,</w:t>
      </w:r>
      <w:r>
        <w:rPr>
          <w:rFonts w:ascii="Arial" w:eastAsia="Arial" w:hAnsi="Arial"/>
          <w:color w:val="000000"/>
          <w:spacing w:val="-1"/>
          <w:sz w:val="28"/>
          <w:vertAlign w:val="superscript"/>
        </w:rPr>
        <w:t>3</w:t>
      </w:r>
      <w:r>
        <w:rPr>
          <w:rFonts w:ascii="Arial" w:eastAsia="Arial" w:hAnsi="Arial"/>
          <w:color w:val="000000"/>
          <w:spacing w:val="-1"/>
          <w:sz w:val="17"/>
        </w:rPr>
        <w:t xml:space="preserve"> </w:t>
      </w:r>
    </w:p>
    <w:p w14:paraId="446959AA" w14:textId="77777777" w:rsidR="009E12A0" w:rsidRDefault="00CF4AEA">
      <w:pPr>
        <w:spacing w:before="4" w:line="318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victim of trafficking in persons,</w:t>
      </w:r>
      <w:r>
        <w:rPr>
          <w:rFonts w:ascii="Arial" w:eastAsia="Arial" w:hAnsi="Arial"/>
          <w:color w:val="000000"/>
          <w:sz w:val="28"/>
          <w:vertAlign w:val="superscript"/>
        </w:rPr>
        <w:t>4</w:t>
      </w:r>
      <w:r>
        <w:rPr>
          <w:rFonts w:ascii="Arial" w:eastAsia="Arial" w:hAnsi="Arial"/>
          <w:color w:val="000000"/>
          <w:sz w:val="28"/>
        </w:rPr>
        <w:t xml:space="preserve"> or</w:t>
      </w:r>
    </w:p>
    <w:p w14:paraId="446959AB" w14:textId="77777777" w:rsidR="009E12A0" w:rsidRDefault="00CF4AEA">
      <w:pPr>
        <w:spacing w:before="330" w:line="318" w:lineRule="exact"/>
        <w:textAlignment w:val="baseline"/>
        <w:rPr>
          <w:rFonts w:ascii="Arial" w:eastAsia="Arial" w:hAnsi="Arial"/>
          <w:color w:val="000000"/>
          <w:spacing w:val="4"/>
          <w:sz w:val="28"/>
        </w:rPr>
      </w:pPr>
      <w:r>
        <w:rPr>
          <w:rFonts w:ascii="Arial" w:eastAsia="Arial" w:hAnsi="Arial"/>
          <w:color w:val="000000"/>
          <w:spacing w:val="4"/>
          <w:sz w:val="28"/>
        </w:rPr>
        <w:t>a victim of sex trafficking of a child.</w:t>
      </w:r>
      <w:r>
        <w:rPr>
          <w:rFonts w:ascii="Arial" w:eastAsia="Arial" w:hAnsi="Arial"/>
          <w:color w:val="000000"/>
          <w:spacing w:val="4"/>
          <w:sz w:val="28"/>
          <w:vertAlign w:val="superscript"/>
        </w:rPr>
        <w:t>5</w:t>
      </w:r>
      <w:r>
        <w:rPr>
          <w:rFonts w:ascii="Arial" w:eastAsia="Arial" w:hAnsi="Arial"/>
          <w:color w:val="000000"/>
          <w:spacing w:val="4"/>
          <w:sz w:val="17"/>
        </w:rPr>
        <w:t xml:space="preserve"> </w:t>
      </w:r>
    </w:p>
    <w:p w14:paraId="446959AC" w14:textId="77777777" w:rsidR="009E12A0" w:rsidRDefault="00CF4AEA">
      <w:pPr>
        <w:spacing w:before="338" w:line="320" w:lineRule="exact"/>
        <w:ind w:left="1440" w:right="1440"/>
        <w:jc w:val="both"/>
        <w:textAlignment w:val="baseline"/>
        <w:rPr>
          <w:rFonts w:ascii="Arial" w:eastAsia="Arial" w:hAnsi="Arial"/>
          <w:i/>
          <w:color w:val="000000"/>
          <w:sz w:val="28"/>
        </w:rPr>
      </w:pPr>
      <w:r>
        <w:rPr>
          <w:rFonts w:ascii="Arial" w:eastAsia="Arial" w:hAnsi="Arial"/>
          <w:i/>
          <w:color w:val="000000"/>
          <w:sz w:val="28"/>
        </w:rPr>
        <w:t>Note: Here, the court must set forth for the jury the appropriate statutory definition of what constitutes a victim of the applicable crime.</w:t>
      </w:r>
    </w:p>
    <w:p w14:paraId="446959AD" w14:textId="77777777" w:rsidR="009E12A0" w:rsidRDefault="00CF4AEA">
      <w:pPr>
        <w:spacing w:before="324" w:line="322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Under our law, the defendant has </w:t>
      </w:r>
      <w:r>
        <w:rPr>
          <w:rFonts w:ascii="Arial" w:eastAsia="Arial" w:hAnsi="Arial"/>
          <w:color w:val="000000"/>
          <w:sz w:val="28"/>
        </w:rPr>
        <w:t>the burden of proving an affirmative defense by a preponderance of the evidence.</w:t>
      </w:r>
    </w:p>
    <w:p w14:paraId="446959AE" w14:textId="77777777" w:rsidR="009E12A0" w:rsidRDefault="00CF4AEA">
      <w:pPr>
        <w:spacing w:before="328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In determining whether the defendant has proven the affirmative defense by a preponderance of the evidence, you may consider evidence introduced by the People or by the defendant.</w:t>
      </w:r>
    </w:p>
    <w:p w14:paraId="446959AF" w14:textId="77777777" w:rsidR="009E12A0" w:rsidRDefault="00CF4AEA">
      <w:pPr>
        <w:spacing w:before="318" w:after="366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A preponderance of the evidence means the greater part of the believable and</w:t>
      </w:r>
      <w:r>
        <w:rPr>
          <w:rFonts w:ascii="Arial" w:eastAsia="Arial" w:hAnsi="Arial"/>
          <w:color w:val="000000"/>
          <w:spacing w:val="-3"/>
          <w:sz w:val="28"/>
        </w:rPr>
        <w:t xml:space="preserve"> reliable evidence, not in terms of the number</w:t>
      </w:r>
    </w:p>
    <w:p w14:paraId="446959B0" w14:textId="77777777" w:rsidR="009E12A0" w:rsidRDefault="00CF4AEA">
      <w:pPr>
        <w:spacing w:before="247" w:line="280" w:lineRule="exact"/>
        <w:ind w:right="72" w:firstLine="720"/>
        <w:jc w:val="both"/>
        <w:textAlignment w:val="baseline"/>
        <w:rPr>
          <w:rFonts w:eastAsia="Times New Roman"/>
          <w:color w:val="000000"/>
          <w:spacing w:val="-1"/>
          <w:sz w:val="14"/>
          <w:vertAlign w:val="superscript"/>
        </w:rPr>
      </w:pPr>
      <w:r>
        <w:rPr>
          <w:rFonts w:eastAsia="Times New Roman"/>
          <w:color w:val="000000"/>
          <w:spacing w:val="-1"/>
          <w:sz w:val="14"/>
          <w:vertAlign w:val="superscript"/>
        </w:rPr>
        <w:t>1</w:t>
      </w:r>
      <w:r>
        <w:rPr>
          <w:rFonts w:ascii="Arial" w:eastAsia="Arial" w:hAnsi="Arial"/>
          <w:color w:val="000000"/>
          <w:spacing w:val="-1"/>
          <w:sz w:val="24"/>
        </w:rPr>
        <w:t xml:space="preserve"> The first three alternatives were enacted with the statute, effective Jan. 19, 2016. The last alternative was added, effective Nov.13, 2018.</w:t>
      </w:r>
    </w:p>
    <w:p w14:paraId="446959B1" w14:textId="77777777" w:rsidR="009E12A0" w:rsidRDefault="00CF4AEA">
      <w:pPr>
        <w:spacing w:before="232" w:line="280" w:lineRule="exact"/>
        <w:ind w:left="720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2</w:t>
      </w:r>
      <w:r>
        <w:rPr>
          <w:rFonts w:ascii="Arial" w:eastAsia="Arial" w:hAnsi="Arial"/>
          <w:color w:val="000000"/>
          <w:sz w:val="24"/>
        </w:rPr>
        <w:t xml:space="preserve"> At this point, the statute continues: “under section 230.33.”</w:t>
      </w:r>
    </w:p>
    <w:p w14:paraId="446959B2" w14:textId="77777777" w:rsidR="009E12A0" w:rsidRDefault="00CF4AEA">
      <w:pPr>
        <w:spacing w:before="234" w:line="280" w:lineRule="exact"/>
        <w:ind w:right="288" w:firstLine="720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3</w:t>
      </w:r>
      <w:r>
        <w:rPr>
          <w:rFonts w:ascii="Arial" w:eastAsia="Arial" w:hAnsi="Arial"/>
          <w:color w:val="000000"/>
          <w:sz w:val="24"/>
        </w:rPr>
        <w:t xml:space="preserve"> At this point, the statute continues: “under sec</w:t>
      </w:r>
      <w:r>
        <w:rPr>
          <w:rFonts w:ascii="Arial" w:eastAsia="Arial" w:hAnsi="Arial"/>
          <w:color w:val="000000"/>
          <w:sz w:val="24"/>
        </w:rPr>
        <w:t>tion 230.34 of this article.”</w:t>
      </w:r>
    </w:p>
    <w:p w14:paraId="446959B3" w14:textId="77777777" w:rsidR="009E12A0" w:rsidRDefault="00CF4AEA">
      <w:pPr>
        <w:spacing w:before="235" w:line="280" w:lineRule="exact"/>
        <w:ind w:right="288" w:firstLine="720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4</w:t>
      </w:r>
      <w:r>
        <w:rPr>
          <w:rFonts w:ascii="Arial" w:eastAsia="Arial" w:hAnsi="Arial"/>
          <w:color w:val="000000"/>
          <w:sz w:val="24"/>
        </w:rPr>
        <w:t xml:space="preserve"> At this point, the statute continues: “under the trafficking victims protection act (United States Code, Title 22, Chapter 78).”</w:t>
      </w:r>
    </w:p>
    <w:p w14:paraId="446959B4" w14:textId="77777777" w:rsidR="009E12A0" w:rsidRDefault="00CF4AEA">
      <w:pPr>
        <w:spacing w:before="227" w:line="286" w:lineRule="exact"/>
        <w:ind w:right="72" w:firstLine="720"/>
        <w:jc w:val="both"/>
        <w:textAlignment w:val="baseline"/>
        <w:rPr>
          <w:rFonts w:eastAsia="Times New Roman"/>
          <w:color w:val="000000"/>
          <w:sz w:val="14"/>
          <w:vertAlign w:val="superscript"/>
        </w:rPr>
      </w:pPr>
      <w:r>
        <w:rPr>
          <w:rFonts w:eastAsia="Times New Roman"/>
          <w:color w:val="000000"/>
          <w:sz w:val="14"/>
          <w:vertAlign w:val="superscript"/>
        </w:rPr>
        <w:t>5</w:t>
      </w:r>
      <w:r>
        <w:rPr>
          <w:rFonts w:ascii="Arial" w:eastAsia="Arial" w:hAnsi="Arial"/>
          <w:color w:val="000000"/>
          <w:sz w:val="24"/>
        </w:rPr>
        <w:t xml:space="preserve"> At this point, the statute continues: “under section 230.34-a of this article.”</w:t>
      </w:r>
    </w:p>
    <w:p w14:paraId="446959B5" w14:textId="77777777" w:rsidR="009E12A0" w:rsidRDefault="009E12A0">
      <w:pPr>
        <w:sectPr w:rsidR="009E12A0">
          <w:footerReference w:type="default" r:id="rId6"/>
          <w:pgSz w:w="12240" w:h="15840"/>
          <w:pgMar w:top="1440" w:right="2140" w:bottom="1267" w:left="2160" w:header="720" w:footer="1477" w:gutter="0"/>
          <w:cols w:space="720"/>
        </w:sectPr>
      </w:pPr>
    </w:p>
    <w:p w14:paraId="446959B6" w14:textId="77777777" w:rsidR="009E12A0" w:rsidRDefault="00CF4AEA">
      <w:pPr>
        <w:spacing w:before="4" w:line="325" w:lineRule="exact"/>
        <w:jc w:val="both"/>
        <w:textAlignment w:val="baseline"/>
        <w:rPr>
          <w:rFonts w:ascii="Arial" w:eastAsia="Arial" w:hAnsi="Arial"/>
          <w:color w:val="000000"/>
          <w:spacing w:val="-1"/>
          <w:sz w:val="28"/>
        </w:rPr>
      </w:pPr>
      <w:r>
        <w:rPr>
          <w:rFonts w:ascii="Arial" w:eastAsia="Arial" w:hAnsi="Arial"/>
          <w:color w:val="000000"/>
          <w:spacing w:val="-1"/>
          <w:sz w:val="28"/>
        </w:rPr>
        <w:lastRenderedPageBreak/>
        <w:t>of witnesses or the length of time taken to present the evidence, but in terms of its quality and the weight and convincing effect it</w:t>
      </w:r>
    </w:p>
    <w:p w14:paraId="446959B7" w14:textId="63C8F918" w:rsidR="009E12A0" w:rsidRDefault="00CF4AEA">
      <w:pPr>
        <w:tabs>
          <w:tab w:val="right" w:pos="7920"/>
        </w:tabs>
        <w:spacing w:line="324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has.</w:t>
      </w:r>
      <w:r w:rsidR="00B25CBF">
        <w:rPr>
          <w:rFonts w:ascii="Arial" w:eastAsia="Arial" w:hAnsi="Arial"/>
          <w:color w:val="000000"/>
          <w:sz w:val="28"/>
        </w:rPr>
        <w:t xml:space="preserve"> </w:t>
      </w:r>
      <w:r>
        <w:rPr>
          <w:rFonts w:ascii="Arial" w:eastAsia="Arial" w:hAnsi="Arial"/>
          <w:color w:val="000000"/>
          <w:sz w:val="28"/>
        </w:rPr>
        <w:t xml:space="preserve">For the affirmative defense to be proved by a </w:t>
      </w:r>
      <w:r>
        <w:rPr>
          <w:rFonts w:ascii="Arial" w:eastAsia="Arial" w:hAnsi="Arial"/>
          <w:color w:val="000000"/>
          <w:sz w:val="28"/>
        </w:rPr>
        <w:br/>
      </w:r>
      <w:r>
        <w:rPr>
          <w:rFonts w:ascii="Arial" w:eastAsia="Arial" w:hAnsi="Arial"/>
          <w:color w:val="000000"/>
          <w:sz w:val="28"/>
        </w:rPr>
        <w:t>preponderance of the evidence, the evidence that supports the affirmative defense must be of such convincing quality as to outweigh any evidence to the contrary.</w:t>
      </w:r>
    </w:p>
    <w:p w14:paraId="446959B8" w14:textId="77777777" w:rsidR="009E12A0" w:rsidRDefault="00CF4AEA">
      <w:pPr>
        <w:spacing w:before="319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2"/>
          <w:sz w:val="28"/>
        </w:rPr>
      </w:pPr>
      <w:r>
        <w:rPr>
          <w:rFonts w:ascii="Arial" w:eastAsia="Arial" w:hAnsi="Arial"/>
          <w:color w:val="000000"/>
          <w:spacing w:val="-2"/>
          <w:sz w:val="28"/>
        </w:rPr>
        <w:t>If you find that the defendant has not proven the affirmative defense by a preponderance of th</w:t>
      </w:r>
      <w:r>
        <w:rPr>
          <w:rFonts w:ascii="Arial" w:eastAsia="Arial" w:hAnsi="Arial"/>
          <w:color w:val="000000"/>
          <w:spacing w:val="-2"/>
          <w:sz w:val="28"/>
        </w:rPr>
        <w:t>e evidence, then, based upon your initial determination that the People had proven beyond a reasonable doubt the elements of (</w:t>
      </w:r>
      <w:r>
        <w:rPr>
          <w:rFonts w:ascii="Arial" w:eastAsia="Arial" w:hAnsi="Arial"/>
          <w:i/>
          <w:color w:val="000000"/>
          <w:spacing w:val="-2"/>
          <w:sz w:val="28"/>
          <w:u w:val="single"/>
        </w:rPr>
        <w:t>specify</w:t>
      </w:r>
      <w:r>
        <w:rPr>
          <w:rFonts w:ascii="Arial" w:eastAsia="Arial" w:hAnsi="Arial"/>
          <w:color w:val="000000"/>
          <w:spacing w:val="-2"/>
          <w:sz w:val="28"/>
        </w:rPr>
        <w:t>), you must find the defendant guilty of that crime.</w:t>
      </w:r>
    </w:p>
    <w:p w14:paraId="446959B9" w14:textId="77777777" w:rsidR="009E12A0" w:rsidRDefault="00CF4AEA">
      <w:pPr>
        <w:spacing w:before="321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that the defendant has proven the affirmative defense by a</w:t>
      </w:r>
      <w:r>
        <w:rPr>
          <w:rFonts w:ascii="Arial" w:eastAsia="Arial" w:hAnsi="Arial"/>
          <w:color w:val="000000"/>
          <w:sz w:val="28"/>
        </w:rPr>
        <w:t xml:space="preserve"> preponderance of the evidence, then you must find the defendant not guilty of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).</w:t>
      </w:r>
    </w:p>
    <w:sectPr w:rsidR="009E12A0">
      <w:pgSz w:w="12240" w:h="15840"/>
      <w:pgMar w:top="1440" w:right="2150" w:bottom="1268" w:left="2150" w:header="720" w:footer="1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903CC" w14:textId="77777777" w:rsidR="00CF4AEA" w:rsidRDefault="00CF4AEA">
      <w:r>
        <w:separator/>
      </w:r>
    </w:p>
  </w:endnote>
  <w:endnote w:type="continuationSeparator" w:id="0">
    <w:p w14:paraId="37AFA379" w14:textId="77777777" w:rsidR="00CF4AEA" w:rsidRDefault="00CF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959BE" w14:textId="6FF7863F" w:rsidR="009E12A0" w:rsidRDefault="00CF4AEA">
    <w:pPr>
      <w:tabs>
        <w:tab w:val="left" w:pos="3835"/>
      </w:tabs>
      <w:spacing w:line="229" w:lineRule="exact"/>
      <w:textAlignment w:val="baseline"/>
      <w:rPr>
        <w:rFonts w:eastAsia="Times New Roman"/>
        <w:color w:val="000000"/>
        <w:sz w:val="24"/>
      </w:rPr>
    </w:pPr>
    <w:r>
      <w:rPr>
        <w:rFonts w:eastAsia="Times New Roman"/>
        <w:color w:val="000000"/>
        <w:sz w:val="24"/>
      </w:rPr>
      <w:tab/>
    </w:r>
    <w:r>
      <w:rPr>
        <w:rFonts w:ascii="Arial" w:eastAsia="Arial" w:hAnsi="Arial"/>
        <w:color w:val="000000"/>
        <w:sz w:val="20"/>
      </w:rPr>
      <w:fldChar w:fldCharType="begin"/>
    </w:r>
    <w:r>
      <w:rPr>
        <w:rFonts w:ascii="Arial" w:eastAsia="Arial" w:hAnsi="Arial"/>
        <w:color w:val="000000"/>
        <w:sz w:val="20"/>
      </w:rPr>
      <w:instrText>PAGE</w:instrText>
    </w:r>
    <w:r w:rsidR="007540EF">
      <w:rPr>
        <w:rFonts w:ascii="Arial" w:eastAsia="Arial" w:hAnsi="Arial"/>
        <w:color w:val="000000"/>
        <w:sz w:val="20"/>
      </w:rPr>
      <w:fldChar w:fldCharType="separate"/>
    </w:r>
    <w:r w:rsidR="007540EF">
      <w:rPr>
        <w:rFonts w:ascii="Arial" w:eastAsia="Arial" w:hAnsi="Arial"/>
        <w:noProof/>
        <w:color w:val="000000"/>
        <w:sz w:val="20"/>
      </w:rPr>
      <w:t>2</w:t>
    </w:r>
    <w:r>
      <w:rPr>
        <w:rFonts w:ascii="Arial" w:eastAsia="Arial" w:hAnsi="Arial"/>
        <w:color w:val="000000"/>
        <w:sz w:val="20"/>
      </w:rPr>
      <w:fldChar w:fldCharType="end"/>
    </w:r>
    <w:r>
      <w:rPr>
        <w:rFonts w:ascii="Arial" w:eastAsia="Arial" w:hAnsi="Arial"/>
        <w:color w:val="0000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8FA7C" w14:textId="77777777" w:rsidR="00CF4AEA" w:rsidRDefault="00CF4AEA">
      <w:r>
        <w:separator/>
      </w:r>
    </w:p>
  </w:footnote>
  <w:footnote w:type="continuationSeparator" w:id="0">
    <w:p w14:paraId="1F82CEA3" w14:textId="77777777" w:rsidR="00CF4AEA" w:rsidRDefault="00CF4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12A0"/>
    <w:rsid w:val="0037251D"/>
    <w:rsid w:val="004A171B"/>
    <w:rsid w:val="007540EF"/>
    <w:rsid w:val="009E12A0"/>
    <w:rsid w:val="009E1A46"/>
    <w:rsid w:val="00A8777C"/>
    <w:rsid w:val="00B25CBF"/>
    <w:rsid w:val="00C659D1"/>
    <w:rsid w:val="00CF4AEA"/>
    <w:rsid w:val="00DB088D"/>
    <w:rsid w:val="00E46233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4695995"/>
  <w15:docId w15:val="{60400482-DAB9-4BF9-A29E-B58F52F7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11</cp:revision>
  <dcterms:created xsi:type="dcterms:W3CDTF">2021-04-04T19:29:00Z</dcterms:created>
  <dcterms:modified xsi:type="dcterms:W3CDTF">2021-04-04T19:38:00Z</dcterms:modified>
</cp:coreProperties>
</file>