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SECOND DEGREE</w:t>
        <w:br/>
      </w:r>
      <w:r>
        <w:rPr>
          <w:rFonts w:ascii="Arial" w:hAnsi="Arial" w:eastAsia="Arial"/>
          <w:b w:val="true"/>
          <w:strike w:val="false"/>
          <w:color w:val="000000"/>
          <w:spacing w:val="0"/>
          <w:w w:val="100"/>
          <w:sz w:val="28"/>
          <w:vertAlign w:val="baseline"/>
          <w:lang w:val="en-US"/>
        </w:rPr>
        <w:t xml:space="preserve">(Avoiding Jury Service)</w:t>
        <w:br/>
      </w:r>
      <w:r>
        <w:rPr>
          <w:rFonts w:ascii="Arial" w:hAnsi="Arial" w:eastAsia="Arial"/>
          <w:b w:val="true"/>
          <w:strike w:val="false"/>
          <w:color w:val="000000"/>
          <w:spacing w:val="0"/>
          <w:w w:val="100"/>
          <w:sz w:val="28"/>
          <w:vertAlign w:val="baseline"/>
          <w:lang w:val="en-US"/>
        </w:rPr>
        <w:t xml:space="preserve">Penal Law § 215.50(6)</w:t>
        <w:br/>
      </w:r>
      <w:r>
        <w:rPr>
          <w:rFonts w:ascii="Arial" w:hAnsi="Arial" w:eastAsia="Arial"/>
          <w:b w:val="true"/>
          <w:strike w:val="false"/>
          <w:color w:val="000000"/>
          <w:spacing w:val="0"/>
          <w:w w:val="100"/>
          <w:sz w:val="28"/>
          <w:vertAlign w:val="baseline"/>
          <w:lang w:val="en-US"/>
        </w:rPr>
        <w:t xml:space="preserve">(Committed on or after Sept. 1, 1972)</w:t>
      </w:r>
    </w:p>
    <w:p>
      <w:pPr>
        <w:pageBreakBefore w:val="false"/>
        <w:spacing w:before="32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Contempt in the Second Degree.</w:t>
      </w:r>
    </w:p>
    <w:p>
      <w:pPr>
        <w:pageBreakBefore w:val="false"/>
        <w:spacing w:before="330" w:after="0"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criminal contempt in the second degree when he or she engages in the following conduct: intentional failure to obey any mandate, process or notice, issued pursuant to the law, or rules adopted pursuant to law, [or refusal to be sworn as provided by law or rules].</w:t>
      </w:r>
      <w:r>
        <w:rPr>
          <w:rFonts w:ascii="Arial" w:hAnsi="Arial" w:eastAsia="Arial"/>
          <w:strike w:val="false"/>
          <w:color w:val="000000"/>
          <w:spacing w:val="-2"/>
          <w:w w:val="100"/>
          <w:sz w:val="28"/>
          <w:vertAlign w:val="superscript"/>
          <w:lang w:val="en-US"/>
        </w:rPr>
        <w:t xml:space="preserve">1</w:t>
      </w:r>
      <w:r>
        <w:rPr>
          <w:rFonts w:ascii="Arial" w:hAnsi="Arial" w:eastAsia="Arial"/>
          <w:strike w:val="false"/>
          <w:color w:val="000000"/>
          <w:spacing w:val="-2"/>
          <w:w w:val="100"/>
          <w:sz w:val="17"/>
          <w:vertAlign w:val="baseline"/>
          <w:lang w:val="en-US"/>
        </w:rPr>
        <w:t xml:space="preserve">
</w:t>
      </w:r>
    </w:p>
    <w:p>
      <w:pPr>
        <w:pageBreakBefore w:val="false"/>
        <w:spacing w:before="333" w:after="0" w:line="31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superscript"/>
          <w:lang w:val="en-US"/>
        </w:rPr>
        <w:t xml:space="preserve">2</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issued pursuant to law [or rules adopted pursuant to law].</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8"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law requires that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be sworn.]</w:t>
      </w:r>
    </w:p>
    <w:p>
      <w:pPr>
        <w:pageBreakBefore w:val="false"/>
        <w:spacing w:before="32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34" w:after="609"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engages in an INTENTIONAL failure to obey any mandate, process or notice issued pursuant to the law or rules of jury service, or refusal to be sworn as provided therein, when that person's conscious objective or purpose is to do so.</w:t>
      </w:r>
    </w:p>
    <w:p>
      <w:pPr>
        <w:pageBreakBefore w:val="false"/>
        <w:spacing w:before="257" w:after="0" w:line="283" w:lineRule="exact"/>
        <w:ind w:right="144"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7.3pt,542.4pt" to="252.05pt,542.4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Times New Roman" w:hAnsi="Times New Roman" w:eastAsia="Times New Roman"/>
          <w:strike w:val="false"/>
          <w:color w:val="000000"/>
          <w:spacing w:val="0"/>
          <w:w w:val="100"/>
          <w:sz w:val="24"/>
          <w:vertAlign w:val="baseline"/>
          <w:lang w:val="en-US"/>
        </w:rPr>
        <w:t xml:space="preserve"> The statutory references to applicable law and rules have been omitted and changes to correct the grammar have been made. The statute reads: “Intentional failure to obey any mandate, process or notice, issued pursuant to articles sixteen, seventeen, eighteen, or eighteen-a of the judiciary law, or to rules adopted pursuant to any such statute or to any special statute establishing commissioners of jurors and prescribing their duties or who refuses to be sworn as provided therein.”</w:t>
      </w:r>
    </w:p>
    <w:p>
      <w:pPr>
        <w:pageBreakBefore w:val="false"/>
        <w:spacing w:before="240" w:after="0" w:line="283" w:lineRule="exact"/>
        <w:ind w:right="36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Times New Roman" w:hAnsi="Times New Roman" w:eastAsia="Times New Roman"/>
          <w:strike w:val="false"/>
          <w:color w:val="000000"/>
          <w:spacing w:val="0"/>
          <w:w w:val="100"/>
          <w:sz w:val="24"/>
          <w:vertAlign w:val="baseline"/>
          <w:lang w:val="en-US"/>
        </w:rPr>
        <w:t xml:space="preserve"> The applicable law and rules is limited to and set forth in the definition of the crime which is reproduced in footnote one.</w:t>
      </w:r>
    </w:p>
    <w:p>
      <w:pPr>
        <w:pageBreakBefore w:val="false"/>
        <w:spacing w:before="237" w:after="0" w:line="283"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Times New Roman" w:hAnsi="Times New Roman" w:eastAsia="Times New Roman"/>
          <w:i w:val="true"/>
          <w:strike w:val="false"/>
          <w:color w:val="000000"/>
          <w:spacing w:val="0"/>
          <w:w w:val="100"/>
          <w:sz w:val="24"/>
          <w:vertAlign w:val="baseline"/>
          <w:lang w:val="en-US"/>
        </w:rPr>
        <w:t xml:space="preserve"> Cf. People v. Iannielli, </w:t>
      </w:r>
      <w:r>
        <w:rPr>
          <w:rFonts w:ascii="Times New Roman" w:hAnsi="Times New Roman" w:eastAsia="Times New Roman"/>
          <w:strike w:val="false"/>
          <w:color w:val="000000"/>
          <w:spacing w:val="0"/>
          <w:w w:val="100"/>
          <w:sz w:val="24"/>
          <w:vertAlign w:val="baseline"/>
          <w:lang w:val="en-US"/>
        </w:rPr>
        <w:t xml:space="preserve">36 N.Y.2d 137 (1975).</w:t>
      </w:r>
    </w:p>
    <w:p>
      <w:pPr>
        <w:sectPr>
          <w:type w:val="nextPage"/>
          <w:pgSz w:w="12240" w:h="15840" w:orient="portrait"/>
          <w:pgMar w:bottom="1004" w:top="1440" w:right="2134" w:left="2146" w:header="720" w:footer="720"/>
          <w:titlePg w:val="false"/>
          <w:textDirection w:val="lrTb"/>
        </w:sectPr>
      </w:pPr>
    </w:p>
    <w:p>
      <w:pPr>
        <w:pageBreakBefore w:val="false"/>
        <w:spacing w:before="0"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elements:</w:t>
      </w:r>
    </w:p>
    <w:p>
      <w:pPr>
        <w:pageBreakBefore w:val="false"/>
        <w:numPr>
          <w:ilvl w:val="0"/>
          <w:numId w:val="1"/>
        </w:numPr>
        <w:tabs>
          <w:tab w:val="clear" w:pos="720"/>
          <w:tab w:val="left" w:pos="1440"/>
        </w:tabs>
        <w:spacing w:before="329"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failed to obey any mandate, process or notice, issued pursuant to the law or rules adopted pursuant to law, [or refused to be sworn as provided by law].</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such failure [or refusal] was intentional.</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7824" w:top="1440" w:right="213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