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INTIMIDATING A VICTIM OR WITNESS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215.16</w:t>
        <w:br/>
      </w:r>
      <w:r>
        <w:rPr>
          <w:rFonts w:ascii="Arial" w:hAnsi="Arial" w:eastAsia="Arial"/>
          <w:b w:val="true"/>
          <w:strike w:val="false"/>
          <w:color w:val="000000"/>
          <w:spacing w:val="0"/>
          <w:w w:val="100"/>
          <w:sz w:val="28"/>
          <w:vertAlign w:val="baseline"/>
          <w:lang w:val="en-US"/>
        </w:rPr>
        <w:t xml:space="preserve">(Committed on or after Nov. 1, 1985)</w:t>
      </w:r>
    </w:p>
    <w:p>
      <w:pPr>
        <w:pageBreakBefore w:val="false"/>
        <w:spacing w:before="32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Intimidating a Victim or Witness in the Second Degree.</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Intimidating a Victim or Witness in the Second Degree when he or she:</w:t>
      </w:r>
    </w:p>
    <w:p>
      <w:pPr>
        <w:pageBreakBefore w:val="false"/>
        <w:spacing w:before="330"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24" w:after="0" w:line="324"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Intentionally causes physical injury to another person for the purpose of obstructing, delaying, preventing or impeding the communication by such other person or another person of information relating to a criminal transaction to any court, grand jury, prosecutor, police officer or peace officer [or for the purpose of compelling such other person or another person to swear falsely</w:t>
      </w:r>
    </w:p>
    <w:p>
      <w:pPr>
        <w:pageBreakBefore w:val="false"/>
        <w:spacing w:before="656" w:after="0" w:line="322"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Intentionally causes physical injury to another person on account of such other person or another person having communicated information relating to a criminal transaction to any court, grand jury, prosecutor, police officer or peace officer</w:t>
      </w:r>
    </w:p>
    <w:p>
      <w:pPr>
        <w:pageBreakBefore w:val="false"/>
        <w:spacing w:before="656" w:after="0" w:line="323"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Recklessly causes physical injury to another person by intentionally damaging the property of such other person or another person, for the purpose of obstructing, delaying, preventing or impeding such other person or another person from communicating, [or on account of such other person or another person having communicated,] information relating to a criminal transaction to any court, grand jury, prosecutor, police officer or peace officer</w:t>
      </w:r>
    </w:p>
    <w:p>
      <w:pPr>
        <w:pageBreakBefore w:val="false"/>
        <w:spacing w:before="335" w:after="0" w:line="318" w:lineRule="exact"/>
        <w:ind w:right="0" w:left="0" w:firstLine="0"/>
        <w:jc w:val="center"/>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and when the defendant does so, other than in the course of that</w:t>
      </w:r>
    </w:p>
    <w:p>
      <w:pPr>
        <w:sectPr>
          <w:type w:val="nextPage"/>
          <w:pgSz w:w="12240" w:h="15840" w:orient="portrait"/>
          <w:pgMar w:bottom="1324" w:top="1440" w:right="2140" w:left="2160" w:header="720" w:footer="0"/>
          <w:titlePg w:val="false"/>
          <w:textDirection w:val="lrTb"/>
        </w:sectPr>
      </w:pPr>
    </w:p>
    <w:p>
      <w:pPr>
        <w:pageBreakBefore w:val="false"/>
        <w:spacing w:before="43" w:after="0" w:line="319"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criminal transaction or immediate flight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therefrom.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8"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INTENTIONALLY [causes physical injury to another] [damages the property of another] when that person’s conscious objective or purpose is to do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5"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acts RECKLESSLY with respect to physical injury when that person:</w:t>
      </w:r>
    </w:p>
    <w:p>
      <w:pPr>
        <w:pageBreakBefore w:val="false"/>
        <w:spacing w:before="324"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engages in conduct which creates or contributes to a substantial and unjustifiable risk that physical injury to another person will occur,</w:t>
      </w:r>
    </w:p>
    <w:p>
      <w:pPr>
        <w:pageBreakBefore w:val="false"/>
        <w:spacing w:before="327"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he or she is aware of and consciously disregards that risk,</w:t>
      </w:r>
    </w:p>
    <w:p>
      <w:pPr>
        <w:pageBreakBefore w:val="false"/>
        <w:spacing w:before="333" w:after="594"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that risk is of such nature and degree that disregard of it constitutes a gross deviation from the standard of conduct that a reasonable person would</w:t>
      </w:r>
    </w:p>
    <w:p>
      <w:pPr>
        <w:pageBreakBefore w:val="false"/>
        <w:spacing w:before="256" w:after="0" w:line="276" w:lineRule="exact"/>
        <w:ind w:right="432"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65pt,507.6pt" to="252.05pt,507.6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If "immediate flight" is in issue, </w:t>
      </w:r>
      <w:r>
        <w:rPr>
          <w:rFonts w:ascii="Arial" w:hAnsi="Arial" w:eastAsia="Arial"/>
          <w:i w:val="true"/>
          <w:strike w:val="false"/>
          <w:color w:val="000000"/>
          <w:spacing w:val="0"/>
          <w:w w:val="100"/>
          <w:sz w:val="24"/>
          <w:vertAlign w:val="baseline"/>
          <w:lang w:val="en-US"/>
        </w:rPr>
        <w:t xml:space="preserve">see People v. Gladman, </w:t>
      </w:r>
      <w:r>
        <w:rPr>
          <w:rFonts w:ascii="Arial" w:hAnsi="Arial" w:eastAsia="Arial"/>
          <w:strike w:val="false"/>
          <w:color w:val="000000"/>
          <w:spacing w:val="0"/>
          <w:w w:val="100"/>
          <w:sz w:val="24"/>
          <w:vertAlign w:val="baseline"/>
          <w:lang w:val="en-US"/>
        </w:rPr>
        <w:t xml:space="preserve">41 NY2d 123 (1976).</w:t>
      </w:r>
    </w:p>
    <w:p>
      <w:pPr>
        <w:pageBreakBefore w:val="false"/>
        <w:spacing w:before="245"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statute opens with the words: “other than in the course of that criminal transaction or immediate flight.” Since “that” criminal transaction refers to the criminal transaction about which the victim has information as recited in the remaining portions of the statute, we have so indicated by moving that language to the end and preceding it with the language “and when the defendant does so...”</w:t>
      </w:r>
    </w:p>
    <w:p>
      <w:pPr>
        <w:pageBreakBefore w:val="false"/>
        <w:spacing w:before="240"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40" w:after="0" w:line="276"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footerReference w:type="default" r:id="fId0"/>
          <w:type w:val="nextPage"/>
          <w:pgSz w:w="12240" w:h="15840" w:orient="portrait"/>
          <w:pgMar w:bottom="1315" w:top="1400" w:right="2147" w:left="2153" w:header="720" w:footer="1431"/>
          <w:titlePg w:val="false"/>
          <w:textDirection w:val="lrTb"/>
        </w:sectPr>
      </w:pPr>
    </w:p>
    <w:p>
      <w:pPr>
        <w:pageBreakBefore w:val="false"/>
        <w:spacing w:before="37" w:after="0" w:line="324" w:lineRule="exact"/>
        <w:ind w:right="0" w:left="720" w:firstLine="0"/>
        <w:jc w:val="left"/>
        <w:textAlignment w:val="baseline"/>
        <w:rPr>
          <w:rFonts w:ascii="Arial" w:hAnsi="Arial" w:eastAsia="Arial"/>
          <w:strike w:val="false"/>
          <w:color w:val="000000"/>
          <w:spacing w:val="-1"/>
          <w:w w:val="100"/>
          <w:sz w:val="28"/>
          <w:vertAlign w:val="baseline"/>
          <w:lang w:val="en-US"/>
        </w:rPr>
      </w:pPr>
      <w:r>
        <w:pict>
          <v:line strokeweight="1.2pt" strokecolor="#000000" from="107.85pt,642.25pt" to="252.05pt,642.25pt" style="position:absolute;mso-position-horizontal-relative:page;mso-position-vertical-relative:page;">
            <v:stroke dashstyle="solid"/>
          </v:line>
        </w:pict>
      </w:r>
      <w:r>
        <w:rPr>
          <w:rFonts w:ascii="Arial" w:hAnsi="Arial" w:eastAsia="Arial"/>
          <w:strike w:val="false"/>
          <w:color w:val="000000"/>
          <w:spacing w:val="-1"/>
          <w:w w:val="100"/>
          <w:sz w:val="28"/>
          <w:vertAlign w:val="baseline"/>
          <w:lang w:val="en-US"/>
        </w:rPr>
        <w:t xml:space="preserve">observe in the situation. </w:t>
      </w:r>
      <w:r>
        <w:rPr>
          <w:rFonts w:ascii="Arial" w:hAnsi="Arial" w:eastAsia="Arial"/>
          <w:strike w:val="false"/>
          <w:color w:val="000000"/>
          <w:spacing w:val="-1"/>
          <w:w w:val="100"/>
          <w:sz w:val="28"/>
          <w:vertAlign w:val="superscript"/>
          <w:lang w:val="en-US"/>
        </w:rPr>
        <w:t xml:space="preserve">5</w:t>
      </w:r>
      <w:r>
        <w:rPr>
          <w:rFonts w:ascii="Arial" w:hAnsi="Arial" w:eastAsia="Arial"/>
          <w:strike w:val="false"/>
          <w:color w:val="000000"/>
          <w:spacing w:val="-1"/>
          <w:w w:val="100"/>
          <w:sz w:val="17"/>
          <w:vertAlign w:val="baseline"/>
          <w:lang w:val="en-US"/>
        </w:rPr>
        <w:t xml:space="preserve">
</w:t>
      </w:r>
    </w:p>
    <w:p>
      <w:pPr>
        <w:pageBreakBefore w:val="false"/>
        <w:spacing w:before="337" w:after="0" w:line="322" w:lineRule="exact"/>
        <w:ind w:right="0" w:left="72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Where there is evidence of voluntary intoxication on the part of the defendant, add:</w:t>
      </w:r>
    </w:p>
    <w:p>
      <w:pPr>
        <w:pageBreakBefore w:val="false"/>
        <w:spacing w:before="0" w:after="0" w:line="320" w:lineRule="exact"/>
        <w:ind w:right="0" w:left="144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28"/>
          <w:vertAlign w:val="baseline"/>
          <w:lang w:val="en-US"/>
        </w:rPr>
        <w:t xml:space="preserve">]</w:t>
      </w:r>
    </w:p>
    <w:p>
      <w:pPr>
        <w:pageBreakBefore w:val="false"/>
        <w:spacing w:before="65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(date) , in the county of (county) , the defendant, (defendant's name), caused physical injury to (specify);</w:t>
      </w:r>
    </w:p>
    <w:p>
      <w:pPr>
        <w:pageBreakBefore w:val="false"/>
        <w:spacing w:before="325" w:after="0" w:line="324"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 second element</w:t>
      </w:r>
      <w:r>
        <w:rPr>
          <w:rFonts w:ascii="Arial" w:hAnsi="Arial" w:eastAsia="Arial"/>
          <w:strike w:val="false"/>
          <w:color w:val="000000"/>
          <w:spacing w:val="0"/>
          <w:w w:val="100"/>
          <w:sz w:val="28"/>
          <w:vertAlign w:val="baseline"/>
          <w:lang w:val="en-US"/>
        </w:rPr>
        <w:t xml:space="preserve">:</w:t>
      </w:r>
    </w:p>
    <w:p>
      <w:pPr>
        <w:pageBreakBefore w:val="false"/>
        <w:numPr>
          <w:ilvl w:val="0"/>
          <w:numId w:val="1"/>
        </w:numPr>
        <w:tabs>
          <w:tab w:val="clear" w:pos="720"/>
          <w:tab w:val="left" w:pos="1440"/>
        </w:tabs>
        <w:spacing w:before="323" w:after="0" w:line="324"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did so intentionally and for the purpose of obstructing, delaying, preventing or impeding the communication by (specify) or another person of information relating to a criminal transaction to any court, grand jury, prosecutor, police officer or peace officer [or for the purpose of compelling (specify) or another person to swear falsely]; and</w:t>
      </w:r>
    </w:p>
    <w:p>
      <w:pPr>
        <w:pageBreakBefore w:val="false"/>
        <w:spacing w:before="330" w:after="0" w:line="319" w:lineRule="exact"/>
        <w:ind w:right="0" w:left="0" w:firstLine="0"/>
        <w:jc w:val="center"/>
        <w:textAlignment w:val="baseline"/>
        <w:rPr>
          <w:rFonts w:ascii="Arial" w:hAnsi="Arial" w:eastAsia="Arial"/>
          <w:i w:val="true"/>
          <w:strike w:val="false"/>
          <w:color w:val="000000"/>
          <w:spacing w:val="45"/>
          <w:w w:val="100"/>
          <w:sz w:val="28"/>
          <w:vertAlign w:val="baseline"/>
          <w:lang w:val="en-US"/>
        </w:rPr>
      </w:pPr>
      <w:r>
        <w:rPr>
          <w:rFonts w:ascii="Arial" w:hAnsi="Arial" w:eastAsia="Arial"/>
          <w:i w:val="true"/>
          <w:strike w:val="false"/>
          <w:color w:val="000000"/>
          <w:spacing w:val="45"/>
          <w:w w:val="100"/>
          <w:sz w:val="28"/>
          <w:vertAlign w:val="baseline"/>
          <w:lang w:val="en-US"/>
        </w:rPr>
        <w:t xml:space="preserve">Or</w:t>
      </w:r>
    </w:p>
    <w:p>
      <w:pPr>
        <w:pageBreakBefore w:val="false"/>
        <w:tabs>
          <w:tab w:val="left" w:leader="none" w:pos="1440"/>
        </w:tabs>
        <w:spacing w:before="323" w:after="374"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did so intentionally and on account of (specify) or another person having communicated information relating to a criminal transaction to any court, grand jury, prosecutor, police officer or peace officer; and</w:t>
      </w:r>
    </w:p>
    <w:p>
      <w:pPr>
        <w:pageBreakBefore w:val="false"/>
        <w:spacing w:before="243" w:after="0" w:line="290"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5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15.05(3); </w:t>
      </w:r>
      <w:r>
        <w:rPr>
          <w:rFonts w:ascii="Arial" w:hAnsi="Arial" w:eastAsia="Arial"/>
          <w:i w:val="true"/>
          <w:strike w:val="false"/>
          <w:color w:val="000000"/>
          <w:spacing w:val="0"/>
          <w:w w:val="100"/>
          <w:sz w:val="24"/>
          <w:vertAlign w:val="baseline"/>
          <w:lang w:val="en-US"/>
        </w:rPr>
        <w:t xml:space="preserve">People v. Boutin</w:t>
      </w:r>
      <w:r>
        <w:rPr>
          <w:rFonts w:ascii="Arial" w:hAnsi="Arial" w:eastAsia="Arial"/>
          <w:strike w:val="false"/>
          <w:color w:val="000000"/>
          <w:spacing w:val="0"/>
          <w:w w:val="100"/>
          <w:sz w:val="24"/>
          <w:vertAlign w:val="baseline"/>
          <w:lang w:val="en-US"/>
        </w:rPr>
        <w:t xml:space="preserve">, 75 NY2d 692 (1990).</w:t>
      </w:r>
    </w:p>
    <w:p>
      <w:pPr>
        <w:pageBreakBefore w:val="false"/>
        <w:spacing w:before="219" w:after="0" w:line="298" w:lineRule="exact"/>
        <w:ind w:right="0" w:left="0" w:firstLine="0"/>
        <w:jc w:val="left"/>
        <w:textAlignment w:val="baseline"/>
        <w:rPr>
          <w:rFonts w:ascii="Arial" w:hAnsi="Arial" w:eastAsia="Arial"/>
          <w:i w:val="true"/>
          <w:strike w:val="false"/>
          <w:color w:val="000000"/>
          <w:spacing w:val="0"/>
          <w:w w:val="100"/>
          <w:sz w:val="17"/>
          <w:vertAlign w:val="baseline"/>
          <w:lang w:val="en-US"/>
        </w:rPr>
      </w:pPr>
      <w:r>
        <w:rPr>
          <w:rFonts w:ascii="Arial" w:hAnsi="Arial" w:eastAsia="Arial"/>
          <w:i w:val="true"/>
          <w:strike w:val="false"/>
          <w:color w:val="000000"/>
          <w:spacing w:val="0"/>
          <w:w w:val="100"/>
          <w:sz w:val="17"/>
          <w:vertAlign w:val="baseline"/>
          <w:lang w:val="en-US"/>
        </w:rPr>
        <w:t xml:space="preserve">6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15.05(3).</w:t>
      </w:r>
    </w:p>
    <w:p>
      <w:pPr>
        <w:sectPr>
          <w:type w:val="nextPage"/>
          <w:pgSz w:w="12240" w:h="15840" w:orient="portrait"/>
          <w:pgMar w:bottom="1312" w:top="1400" w:right="2143" w:left="2157" w:header="720" w:footer="1483"/>
          <w:titlePg w:val="false"/>
          <w:textDirection w:val="lrTb"/>
        </w:sectPr>
      </w:pPr>
    </w:p>
    <w:p>
      <w:pPr>
        <w:pageBreakBefore w:val="false"/>
        <w:spacing w:before="8" w:after="321" w:line="319" w:lineRule="exact"/>
        <w:ind w:right="0" w:left="0" w:firstLine="0"/>
        <w:jc w:val="center"/>
        <w:textAlignment w:val="baseline"/>
        <w:rPr>
          <w:rFonts w:ascii="Arial" w:hAnsi="Arial" w:eastAsia="Arial"/>
          <w:i w:val="true"/>
          <w:strike w:val="false"/>
          <w:color w:val="000000"/>
          <w:spacing w:val="45"/>
          <w:w w:val="100"/>
          <w:sz w:val="28"/>
          <w:vertAlign w:val="baseline"/>
          <w:lang w:val="en-US"/>
        </w:rPr>
      </w:pPr>
      <w:r>
        <w:rPr>
          <w:rFonts w:ascii="Arial" w:hAnsi="Arial" w:eastAsia="Arial"/>
          <w:i w:val="true"/>
          <w:strike w:val="false"/>
          <w:color w:val="000000"/>
          <w:spacing w:val="45"/>
          <w:w w:val="100"/>
          <w:sz w:val="28"/>
          <w:vertAlign w:val="baseline"/>
          <w:lang w:val="en-US"/>
        </w:rPr>
        <w:t xml:space="preserve">Or</w:t>
      </w:r>
    </w:p>
    <w:p>
      <w:pPr>
        <w:spacing w:before="8" w:after="321" w:line="319" w:lineRule="exact"/>
        <w:sectPr>
          <w:type w:val="nextPage"/>
          <w:pgSz w:w="12240" w:h="15840" w:orient="portrait"/>
          <w:pgMar w:bottom="1314" w:top="1440" w:right="2123" w:left="2177" w:header="720" w:footer="1488"/>
          <w:titlePg w:val="false"/>
          <w:textDirection w:val="lrTb"/>
        </w:sectPr>
      </w:pPr>
    </w:p>
    <w:p>
      <w:pPr>
        <w:pageBreakBefore w:val="false"/>
        <w:numPr>
          <w:ilvl w:val="0"/>
          <w:numId w:val="2"/>
        </w:numPr>
        <w:tabs>
          <w:tab w:val="clear" w:pos="648"/>
          <w:tab w:val="left" w:pos="1440"/>
        </w:tabs>
        <w:spacing w:before="0" w:after="0" w:line="323"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recklessly by intentionally damaging the property of (specify) or another person, for the purpose of obstructing, delaying, preventing or impeding (specify) or another person from communicating, [or on account of (specify) or another person having communicated,] information relating to a criminal transaction to any court, grand jury, prosecutor, police officer or peace officer; and</w:t>
      </w:r>
    </w:p>
    <w:p>
      <w:pPr>
        <w:pageBreakBefore w:val="false"/>
        <w:numPr>
          <w:ilvl w:val="0"/>
          <w:numId w:val="3"/>
        </w:numPr>
        <w:tabs>
          <w:tab w:val="clear" w:pos="648"/>
          <w:tab w:val="left" w:pos="1440"/>
        </w:tabs>
        <w:spacing w:before="642" w:after="0" w:line="325"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do so in the course of that criminal transaction or in the immediate flight therefrom.</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continuous"/>
      <w:pgSz w:w="12240" w:h="15840" w:orient="portrait"/>
      <w:pgMar w:bottom="1314" w:top="1440" w:right="2135" w:left="2148"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8"/>
      </w:tabs>
      <w:spacing w:before="0" w:after="0" w:line="274"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2"/>
      <w:numFmt w:val="decimal"/>
      <w:lvlText w:val="%1."/>
      <w:pPr>
        <w:tabs>
          <w:tab w:val="left" w:pos="648"/>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