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RECEIVING IN THE THIRD DEGREE</w:t>
        <w:br/>
      </w:r>
      <w:r>
        <w:rPr>
          <w:rFonts w:ascii="Arial" w:hAnsi="Arial" w:eastAsia="Arial"/>
          <w:b w:val="true"/>
          <w:strike w:val="false"/>
          <w:color w:val="000000"/>
          <w:spacing w:val="0"/>
          <w:w w:val="100"/>
          <w:sz w:val="28"/>
          <w:vertAlign w:val="baseline"/>
          <w:lang w:val="en-US"/>
        </w:rPr>
        <w:t xml:space="preserve">Penal Law § 200.10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(Committed on or after November 1, 1986)</w:t>
      </w:r>
    </w:p>
    <w:p>
      <w:pPr>
        <w:pageBreakBefore w:val="false"/>
        <w:spacing w:before="323" w:after="0" w:line="324"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The (specify) count is Bribe Receiving in the Third Degree.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public servant is guilty of bribe receiving in the third degree when that public servant solicits, accepts or agrees to accept any benefit from another person upon an agreement or understanding that such public servant's vote, opinion, judgment, action, decision or exercise of discretion as a public servant will thereby be influenced.</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1794"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AGREEMENT means a mutual agreement between a public servant and a person from whom he or she solicits, accepts or agrees to accept any benefit that such public servant's vote, opinion, judgment, action, decision or exercise of discretion as</w:t>
      </w:r>
    </w:p>
    <w:p>
      <w:pPr>
        <w:pageBreakBefore w:val="false"/>
        <w:tabs>
          <w:tab w:val="left" w:leader="none" w:pos="1440"/>
        </w:tabs>
        <w:spacing w:before="252" w:after="0" w:line="301" w:lineRule="exact"/>
        <w:ind w:right="0" w:left="720" w:firstLine="0"/>
        <w:jc w:val="left"/>
        <w:textAlignment w:val="baseline"/>
        <w:rPr>
          <w:rFonts w:ascii="Arial" w:hAnsi="Arial" w:eastAsia="Arial"/>
          <w:strike w:val="false"/>
          <w:color w:val="000000"/>
          <w:spacing w:val="-1"/>
          <w:w w:val="100"/>
          <w:sz w:val="16"/>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1"/>
          <w:w w:val="100"/>
          <w:sz w:val="16"/>
          <w:vertAlign w:val="baseline"/>
          <w:lang w:val="en-US"/>
        </w:rPr>
        <w:t xml:space="preserve">1	</w:t>
      </w:r>
      <w:r>
        <w:rPr>
          <w:rFonts w:ascii="Arial" w:hAnsi="Arial" w:eastAsia="Arial"/>
          <w:strike w:val="false"/>
          <w:color w:val="000000"/>
          <w:spacing w:val="-1"/>
          <w:w w:val="100"/>
          <w:sz w:val="26"/>
          <w:vertAlign w:val="baseline"/>
          <w:lang w:val="en-US"/>
        </w:rPr>
        <w:t xml:space="preserve">Penal Law § 10.00(17).</w:t>
      </w:r>
    </w:p>
    <w:p>
      <w:pPr>
        <w:pageBreakBefore w:val="false"/>
        <w:tabs>
          <w:tab w:val="left" w:leader="none" w:pos="1440"/>
        </w:tabs>
        <w:spacing w:before="236" w:after="0" w:line="302" w:lineRule="exact"/>
        <w:ind w:right="0" w:left="720" w:firstLine="0"/>
        <w:jc w:val="left"/>
        <w:textAlignment w:val="baseline"/>
        <w:rPr>
          <w:rFonts w:ascii="Arial" w:hAnsi="Arial" w:eastAsia="Arial"/>
          <w:strike w:val="false"/>
          <w:color w:val="000000"/>
          <w:spacing w:val="-1"/>
          <w:w w:val="100"/>
          <w:sz w:val="16"/>
          <w:vertAlign w:val="baseline"/>
          <w:lang w:val="en-US"/>
        </w:rPr>
      </w:pPr>
      <w:r>
        <w:rPr>
          <w:rFonts w:ascii="Arial" w:hAnsi="Arial" w:eastAsia="Arial"/>
          <w:strike w:val="false"/>
          <w:color w:val="000000"/>
          <w:spacing w:val="-1"/>
          <w:w w:val="100"/>
          <w:sz w:val="16"/>
          <w:vertAlign w:val="baseline"/>
          <w:lang w:val="en-US"/>
        </w:rPr>
        <w:t xml:space="preserve">2	</w:t>
      </w:r>
      <w:r>
        <w:rPr>
          <w:rFonts w:ascii="Arial" w:hAnsi="Arial" w:eastAsia="Arial"/>
          <w:strike w:val="false"/>
          <w:color w:val="000000"/>
          <w:spacing w:val="-1"/>
          <w:w w:val="100"/>
          <w:sz w:val="26"/>
          <w:vertAlign w:val="baseline"/>
          <w:lang w:val="en-US"/>
        </w:rPr>
        <w:t xml:space="preserve">Penal Law § 10.00(15).</w:t>
      </w:r>
    </w:p>
    <w:p>
      <w:pPr>
        <w:sectPr>
          <w:type w:val="nextPage"/>
          <w:pgSz w:w="12240" w:h="15840" w:orient="portrait"/>
          <w:pgMar w:bottom="984" w:top="1440" w:right="2140" w:left="2160" w:header="720" w:footer="0"/>
          <w:titlePg w:val="false"/>
          <w:textDirection w:val="lrTb"/>
        </w:sectPr>
      </w:pPr>
    </w:p>
    <w:p>
      <w:pPr>
        <w:pageBreakBefore w:val="false"/>
        <w:spacing w:before="37" w:after="0" w:line="325" w:lineRule="exact"/>
        <w:ind w:right="0" w:left="0" w:firstLine="0"/>
        <w:jc w:val="left"/>
        <w:textAlignment w:val="baseline"/>
        <w:rPr>
          <w:rFonts w:ascii="Arial" w:hAnsi="Arial" w:eastAsia="Arial"/>
          <w:strike w:val="false"/>
          <w:color w:val="000000"/>
          <w:spacing w:val="-1"/>
          <w:w w:val="100"/>
          <w:sz w:val="28"/>
          <w:vertAlign w:val="baseline"/>
          <w:lang w:val="en-US"/>
        </w:rPr>
      </w:pPr>
      <w:r>
        <w:pict>
          <v:line strokeweight="0.95pt" strokecolor="#000000" from="107.75pt,449.5pt" to="252.05pt,449.5pt" style="position:absolute;mso-position-horizontal-relative:page;mso-position-vertical-relative:page;">
            <v:stroke dashstyle="solid"/>
          </v:line>
        </w:pict>
      </w:r>
      <w:r>
        <w:rPr>
          <w:rFonts w:ascii="Arial" w:hAnsi="Arial" w:eastAsia="Arial"/>
          <w:strike w:val="false"/>
          <w:color w:val="000000"/>
          <w:spacing w:val="-1"/>
          <w:w w:val="100"/>
          <w:sz w:val="28"/>
          <w:vertAlign w:val="baseline"/>
          <w:lang w:val="en-US"/>
        </w:rPr>
        <w:t xml:space="preserve">a public servant will thereby be influenced.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public servant who solicits, accepts or agrees to accept any benefit from another person that such public servant's vote, opinion, judgment, action, decision or exercise of discretion as a public servant will thereby be influenced.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bribe, gratuity or reward was given.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numPr>
          <w:ilvl w:val="0"/>
          <w:numId w:val="1"/>
        </w:numPr>
        <w:tabs>
          <w:tab w:val="clear" w:pos="720"/>
          <w:tab w:val="left" w:pos="1440"/>
          <w:tab w:val="right" w:leader="none" w:pos="7920"/>
        </w:tabs>
        <w:spacing w:before="32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the defendant,</w:t>
        <w:br/>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public servant;</w:t>
      </w:r>
    </w:p>
    <w:p>
      <w:pPr>
        <w:pageBreakBefore w:val="false"/>
        <w:numPr>
          <w:ilvl w:val="0"/>
          <w:numId w:val="2"/>
        </w:numPr>
        <w:tabs>
          <w:tab w:val="clear" w:pos="576"/>
          <w:tab w:val="left" w:pos="1296"/>
        </w:tabs>
        <w:spacing w:before="317" w:after="400"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that date in the county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county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 defendant solicited, accepted, or agreed to accept a benefit from</w:t>
      </w:r>
    </w:p>
    <w:p>
      <w:pPr>
        <w:pageBreakBefore w:val="false"/>
        <w:spacing w:before="264" w:after="0" w:line="297" w:lineRule="exact"/>
        <w:ind w:right="144" w:left="0" w:firstLine="720"/>
        <w:jc w:val="left"/>
        <w:textAlignment w:val="baseline"/>
        <w:rPr>
          <w:rFonts w:ascii="Arial" w:hAnsi="Arial" w:eastAsia="Arial"/>
          <w:strike w:val="false"/>
          <w:color w:val="000000"/>
          <w:spacing w:val="-2"/>
          <w:w w:val="100"/>
          <w:sz w:val="16"/>
          <w:vertAlign w:val="superscript"/>
          <w:lang w:val="en-US"/>
        </w:rPr>
      </w:pPr>
      <w:r>
        <w:rPr>
          <w:rFonts w:ascii="Arial" w:hAnsi="Arial" w:eastAsia="Arial"/>
          <w:strike w:val="false"/>
          <w:color w:val="000000"/>
          <w:spacing w:val="-2"/>
          <w:w w:val="100"/>
          <w:sz w:val="16"/>
          <w:vertAlign w:val="superscript"/>
          <w:lang w:val="en-US"/>
        </w:rPr>
        <w:t xml:space="preserve">3</w:t>
      </w:r>
      <w:r>
        <w:rPr>
          <w:rFonts w:ascii="Arial" w:hAnsi="Arial" w:eastAsia="Arial"/>
          <w:strike w:val="false"/>
          <w:color w:val="000000"/>
          <w:spacing w:val="-2"/>
          <w:w w:val="100"/>
          <w:sz w:val="26"/>
          <w:vertAlign w:val="baseline"/>
          <w:lang w:val="en-US"/>
        </w:rPr>
        <w:t xml:space="preserve"> The definition provided has been drawn from </w:t>
      </w:r>
      <w:r>
        <w:rPr>
          <w:rFonts w:ascii="Arial" w:hAnsi="Arial" w:eastAsia="Arial"/>
          <w:i w:val="true"/>
          <w:strike w:val="false"/>
          <w:color w:val="000000"/>
          <w:spacing w:val="-2"/>
          <w:w w:val="100"/>
          <w:sz w:val="26"/>
          <w:vertAlign w:val="baseline"/>
          <w:lang w:val="en-US"/>
        </w:rPr>
        <w:t xml:space="preserve">People v. Tran</w:t>
      </w:r>
      <w:r>
        <w:rPr>
          <w:rFonts w:ascii="Arial" w:hAnsi="Arial" w:eastAsia="Arial"/>
          <w:strike w:val="false"/>
          <w:color w:val="000000"/>
          <w:spacing w:val="-2"/>
          <w:w w:val="100"/>
          <w:sz w:val="26"/>
          <w:vertAlign w:val="baseline"/>
          <w:lang w:val="en-US"/>
        </w:rPr>
        <w:t xml:space="preserve">, 80 N.Y.2d 170 (1992), which defined the term "understanding" in the context of a bribe giving rather than a bribe receiving case. The Court of Appeals has not specifically adopted a definition of the term "understanding" in the context of a bribe receiving case.</w:t>
      </w:r>
    </w:p>
    <w:p>
      <w:pPr>
        <w:pageBreakBefore w:val="false"/>
        <w:spacing w:before="210" w:after="0" w:line="295" w:lineRule="exact"/>
        <w:ind w:right="0" w:left="720" w:firstLine="0"/>
        <w:jc w:val="left"/>
        <w:textAlignment w:val="baseline"/>
        <w:rPr>
          <w:rFonts w:ascii="Arial" w:hAnsi="Arial" w:eastAsia="Arial"/>
          <w:strike w:val="false"/>
          <w:color w:val="000000"/>
          <w:spacing w:val="19"/>
          <w:w w:val="100"/>
          <w:sz w:val="16"/>
          <w:vertAlign w:val="superscript"/>
          <w:lang w:val="en-US"/>
        </w:rPr>
      </w:pPr>
      <w:r>
        <w:rPr>
          <w:rFonts w:ascii="Arial" w:hAnsi="Arial" w:eastAsia="Arial"/>
          <w:strike w:val="false"/>
          <w:color w:val="000000"/>
          <w:spacing w:val="19"/>
          <w:w w:val="100"/>
          <w:sz w:val="16"/>
          <w:vertAlign w:val="superscript"/>
          <w:lang w:val="en-US"/>
        </w:rPr>
        <w:t xml:space="preserve">4</w:t>
      </w:r>
      <w:r>
        <w:rPr>
          <w:rFonts w:ascii="Arial" w:hAnsi="Arial" w:eastAsia="Arial"/>
          <w:i w:val="true"/>
          <w:strike w:val="false"/>
          <w:color w:val="000000"/>
          <w:spacing w:val="19"/>
          <w:w w:val="100"/>
          <w:sz w:val="26"/>
          <w:vertAlign w:val="baseline"/>
          <w:lang w:val="en-US"/>
        </w:rPr>
        <w:t xml:space="preserve"> Id.</w:t>
      </w:r>
    </w:p>
    <w:p>
      <w:pPr>
        <w:pageBreakBefore w:val="false"/>
        <w:spacing w:before="273" w:after="0" w:line="297" w:lineRule="exact"/>
        <w:ind w:right="144" w:left="0" w:firstLine="72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strike w:val="false"/>
          <w:color w:val="000000"/>
          <w:spacing w:val="0"/>
          <w:w w:val="100"/>
          <w:sz w:val="26"/>
          <w:vertAlign w:val="baseline"/>
          <w:lang w:val="en-US"/>
        </w:rPr>
        <w:t xml:space="preserve">Penal Law § 200.15 . </w:t>
      </w:r>
      <w:r>
        <w:rPr>
          <w:rFonts w:ascii="Arial" w:hAnsi="Arial" w:eastAsia="Arial"/>
          <w:i w:val="true"/>
          <w:strike w:val="false"/>
          <w:color w:val="000000"/>
          <w:spacing w:val="0"/>
          <w:w w:val="100"/>
          <w:sz w:val="26"/>
          <w:vertAlign w:val="baseline"/>
          <w:lang w:val="en-US"/>
        </w:rPr>
        <w:t xml:space="preserve">See also </w:t>
      </w:r>
      <w:r>
        <w:rPr>
          <w:rFonts w:ascii="Arial" w:hAnsi="Arial" w:eastAsia="Arial"/>
          <w:strike w:val="false"/>
          <w:color w:val="000000"/>
          <w:spacing w:val="0"/>
          <w:w w:val="100"/>
          <w:sz w:val="26"/>
          <w:vertAlign w:val="baseline"/>
          <w:lang w:val="en-US"/>
        </w:rPr>
        <w:t xml:space="preserve">Penal Law § 200.15(1) which states that:</w:t>
      </w:r>
    </w:p>
    <w:p>
      <w:pPr>
        <w:pageBreakBefore w:val="false"/>
        <w:spacing w:before="4" w:after="0" w:line="297" w:lineRule="exact"/>
        <w:ind w:right="288" w:left="0" w:firstLine="0"/>
        <w:jc w:val="left"/>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 The crimes of (a) bribe receiving, and (b) larceny committed by means of extortion, attempt to commit the same, coercion and attempt to commit coercion, are not mutually exclusive, and it is no defense to a prosecution for bribe receiving that, by reason of the same conduct, the defendant also committed one of such other specified crimes."</w:t>
      </w:r>
    </w:p>
    <w:p>
      <w:pPr>
        <w:sectPr>
          <w:footerReference w:type="default" r:id="fId0"/>
          <w:type w:val="nextPage"/>
          <w:pgSz w:w="12240" w:h="15840" w:orient="portrait"/>
          <w:pgMar w:bottom="1313" w:top="1400" w:right="2145" w:left="2155" w:header="720" w:footer="1493"/>
          <w:titlePg w:val="false"/>
          <w:textDirection w:val="lrTb"/>
        </w:sectPr>
      </w:pPr>
    </w:p>
    <w:p>
      <w:pPr>
        <w:pageBreakBefore w:val="false"/>
        <w:spacing w:before="88" w:after="0" w:line="321" w:lineRule="exact"/>
        <w:ind w:right="0" w:left="0" w:firstLine="0"/>
        <w:jc w:val="left"/>
        <w:textAlignment w:val="baseline"/>
        <w:rPr>
          <w:rFonts w:ascii="Arial" w:hAnsi="Arial" w:eastAsia="Arial"/>
          <w:i w:val="true"/>
          <w:strike w:val="false"/>
          <w:color w:val="000000"/>
          <w:spacing w:val="-1"/>
          <w:w w:val="100"/>
          <w:sz w:val="28"/>
          <w:u w:val="single"/>
          <w:vertAlign w:val="baseline"/>
          <w:lang w:val="en-US"/>
        </w:rPr>
      </w:pP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and</w:t>
      </w:r>
    </w:p>
    <w:p>
      <w:pPr>
        <w:pageBreakBefore w:val="false"/>
        <w:tabs>
          <w:tab w:val="right" w:leader="none" w:pos="7920"/>
        </w:tabs>
        <w:spacing w:before="332"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upon an agreement or</w:t>
      </w:r>
    </w:p>
    <w:p>
      <w:pPr>
        <w:pageBreakBefore w:val="false"/>
        <w:spacing w:before="0" w:after="0" w:line="323"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that the defendant's vote, opinion, judgment, action, decision or exercise of discretion as a public servant would thereby be influenced.</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360" w:right="2142" w:left="215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0"/>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76"/>
        </w:tabs>
      </w:pPr>
      <w:rPr>
        <w:rFonts w:ascii="Arial" w:hAnsi="Arial" w:eastAsia="Arial"/>
        <w:strike w:val="false"/>
        <w:color w:val="000000"/>
        <w:spacing w:val="-5"/>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