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UNLAWFUL POSSESSION OF PERSONAL IDENTIFICATION</w:t>
        <w:br/>
      </w:r>
      <w:r>
        <w:rPr>
          <w:rFonts w:ascii="Arial" w:hAnsi="Arial" w:eastAsia="Arial"/>
          <w:b w:val="true"/>
          <w:strike w:val="false"/>
          <w:color w:val="000000"/>
          <w:spacing w:val="-1"/>
          <w:w w:val="100"/>
          <w:sz w:val="28"/>
          <w:vertAlign w:val="baseline"/>
          <w:lang w:val="en-US"/>
        </w:rPr>
        <w:t xml:space="preserve">INFORMATION SECOND DEGREE</w:t>
        <w:br/>
      </w:r>
      <w:r>
        <w:rPr>
          <w:rFonts w:ascii="Arial" w:hAnsi="Arial" w:eastAsia="Arial"/>
          <w:b w:val="true"/>
          <w:strike w:val="false"/>
          <w:color w:val="000000"/>
          <w:spacing w:val="-1"/>
          <w:w w:val="100"/>
          <w:sz w:val="28"/>
          <w:vertAlign w:val="baseline"/>
          <w:lang w:val="en-US"/>
        </w:rPr>
        <w:t xml:space="preserve">Penal Law § 190.82</w:t>
        <w:br/>
      </w:r>
      <w:r>
        <w:rPr>
          <w:rFonts w:ascii="Arial" w:hAnsi="Arial" w:eastAsia="Arial"/>
          <w:b w:val="true"/>
          <w:strike w:val="false"/>
          <w:color w:val="000000"/>
          <w:spacing w:val="-1"/>
          <w:w w:val="100"/>
          <w:sz w:val="28"/>
          <w:vertAlign w:val="baseline"/>
          <w:lang w:val="en-US"/>
        </w:rPr>
        <w:t xml:space="preserve">(Committed on or after Nov. 1, 2002)</w:t>
      </w:r>
    </w:p>
    <w:p>
      <w:pPr>
        <w:pageBreakBefore w:val="false"/>
        <w:spacing w:before="316"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specify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count is Possession of Personal Identification Information in the Second Degree.</w:t>
      </w:r>
    </w:p>
    <w:p>
      <w:pPr>
        <w:pageBreakBefore w:val="false"/>
        <w:spacing w:before="326"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Unlawful Possession of Personal Identification Information in the Second Degree when he or she knowingly possesses two hundred fifty or more items of personal identification information of the following nature:</w:t>
      </w:r>
    </w:p>
    <w:p>
      <w:pPr>
        <w:pageBreakBefore w:val="false"/>
        <w:spacing w:before="334" w:after="0" w:line="320"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14" w:after="0" w:line="324"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 person’s</w:t>
      </w:r>
    </w:p>
    <w:p>
      <w:pPr>
        <w:pageBreakBefore w:val="false"/>
        <w:spacing w:before="2"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personal financial services account number or code,</w:t>
      </w:r>
    </w:p>
    <w:p>
      <w:pPr>
        <w:pageBreakBefore w:val="false"/>
        <w:spacing w:before="2"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savings account number or code,</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checking account number or code,</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brokerage account number or code,</w:t>
      </w:r>
    </w:p>
    <w:p>
      <w:pPr>
        <w:pageBreakBefore w:val="false"/>
        <w:spacing w:before="2"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credit card account number or code,</w:t>
      </w:r>
    </w:p>
    <w:p>
      <w:pPr>
        <w:pageBreakBefore w:val="false"/>
        <w:spacing w:before="2"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debit card number or code,</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automated teller machine number or code,</w:t>
      </w:r>
    </w:p>
    <w:p>
      <w:pPr>
        <w:pageBreakBefore w:val="false"/>
        <w:spacing w:before="2"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personal identification number,</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mother’s maiden name,</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computer system password;</w:t>
      </w:r>
    </w:p>
    <w:p>
      <w:pPr>
        <w:pageBreakBefore w:val="false"/>
        <w:spacing w:before="2"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electronic signature;</w:t>
      </w:r>
    </w:p>
    <w:p>
      <w:pPr>
        <w:pageBreakBefore w:val="false"/>
        <w:spacing w:before="322"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unique biometric data that is a fingerprint, voice print, retinal image or iris image of another person</w:t>
      </w:r>
    </w:p>
    <w:p>
      <w:pPr>
        <w:pageBreakBefore w:val="false"/>
        <w:spacing w:before="331" w:after="1386"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knowing such information is intended to be used in furtherance of the commission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Penal Law crime</w:t>
      </w:r>
      <w:r>
        <w:rPr>
          <w:rFonts w:ascii="Arial" w:hAnsi="Arial" w:eastAsia="Arial"/>
          <w:i w:val="true"/>
          <w:strike w:val="false"/>
          <w:color w:val="000000"/>
          <w:spacing w:val="0"/>
          <w:w w:val="100"/>
          <w:sz w:val="28"/>
          <w:u w:val="single"/>
          <w:vertAlign w:val="superscript"/>
          <w:lang w:val="en-US"/>
        </w:rPr>
        <w:t xml:space="preserve">1</w:t>
      </w:r>
      <w:r>
        <w:rPr>
          <w:rFonts w:ascii="Arial" w:hAnsi="Arial" w:eastAsia="Arial"/>
          <w:strike w:val="false"/>
          <w:color w:val="000000"/>
          <w:spacing w:val="0"/>
          <w:w w:val="100"/>
          <w:sz w:val="28"/>
          <w:u w:val="single"/>
          <w:vertAlign w:val="baseline"/>
          <w:lang w:val="en-US"/>
        </w:rPr>
        <w:t xml:space="preserve">).</w:t>
      </w:r>
    </w:p>
    <w:p>
      <w:pPr>
        <w:pageBreakBefore w:val="false"/>
        <w:spacing w:before="254" w:after="0" w:line="300" w:lineRule="exact"/>
        <w:ind w:right="0" w:left="0" w:firstLine="720"/>
        <w:jc w:val="both"/>
        <w:textAlignment w:val="baseline"/>
        <w:rPr>
          <w:rFonts w:ascii="Arial" w:hAnsi="Arial" w:eastAsia="Arial"/>
          <w:strike w:val="false"/>
          <w:color w:val="000000"/>
          <w:spacing w:val="0"/>
          <w:w w:val="100"/>
          <w:sz w:val="16"/>
          <w:vertAlign w:val="superscript"/>
          <w:lang w:val="en-US"/>
        </w:rPr>
      </w:pPr>
      <w:r>
        <w:pict>
          <v:line strokeweight="0.95pt" strokecolor="#000000" from="108pt,678.25pt" to="252.05pt,678.25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1</w:t>
      </w:r>
      <w:r>
        <w:rPr>
          <w:rFonts w:ascii="Arial" w:hAnsi="Arial" w:eastAsia="Arial"/>
          <w:strike w:val="false"/>
          <w:color w:val="000000"/>
          <w:spacing w:val="0"/>
          <w:w w:val="100"/>
          <w:sz w:val="26"/>
          <w:vertAlign w:val="baseline"/>
          <w:lang w:val="en-US"/>
        </w:rPr>
        <w:t xml:space="preserve"> The definition specifies that the crime must be “a crime defined in this chapter,” meaning the Penal Law.</w:t>
      </w:r>
    </w:p>
    <w:p>
      <w:pPr>
        <w:sectPr>
          <w:type w:val="nextPage"/>
          <w:pgSz w:w="12240" w:h="15840" w:orient="portrait"/>
          <w:pgMar w:bottom="1024" w:top="1440" w:right="2140" w:left="2160" w:header="720" w:footer="0"/>
          <w:titlePg w:val="false"/>
          <w:textDirection w:val="lrTb"/>
        </w:sectPr>
      </w:pPr>
    </w:p>
    <w:p>
      <w:pPr>
        <w:pageBreakBefore w:val="false"/>
        <w:spacing w:before="0"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0.95pt" strokecolor="#000000" from="107.75pt,585.6pt" to="252.05pt,585.6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5" w:after="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17"/>
          <w:vertAlign w:val="baseline"/>
          <w:lang w:val="en-US"/>
        </w:rPr>
        <w:t xml:space="preserve">
</w:t>
      </w:r>
    </w:p>
    <w:p>
      <w:pPr>
        <w:pageBreakBefore w:val="false"/>
        <w:spacing w:before="331" w:after="0" w:line="320"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 person KNOWINGLY possesses two hundred and fifty or more items of personal identification information when that person is aware that he or she is in possession of such information.</w:t>
      </w:r>
      <w:r>
        <w:rPr>
          <w:rFonts w:ascii="Arial" w:hAnsi="Arial" w:eastAsia="Arial"/>
          <w:strike w:val="false"/>
          <w:color w:val="000000"/>
          <w:spacing w:val="-5"/>
          <w:w w:val="100"/>
          <w:sz w:val="28"/>
          <w:vertAlign w:val="superscript"/>
          <w:lang w:val="en-US"/>
        </w:rPr>
        <w:t xml:space="preserve">3</w:t>
      </w:r>
      <w:r>
        <w:rPr>
          <w:rFonts w:ascii="Arial" w:hAnsi="Arial" w:eastAsia="Arial"/>
          <w:strike w:val="false"/>
          <w:color w:val="000000"/>
          <w:spacing w:val="-5"/>
          <w:w w:val="100"/>
          <w:sz w:val="17"/>
          <w:vertAlign w:val="baseline"/>
          <w:lang w:val="en-US"/>
        </w:rPr>
        <w:t xml:space="preserve">
</w:t>
      </w:r>
    </w:p>
    <w:p>
      <w:pPr>
        <w:pageBreakBefore w:val="false"/>
        <w:spacing w:before="332" w:after="0" w:line="324" w:lineRule="exact"/>
        <w:ind w:right="0" w:left="720" w:firstLine="0"/>
        <w:jc w:val="left"/>
        <w:textAlignment w:val="baseline"/>
        <w:rPr>
          <w:rFonts w:ascii="Arial" w:hAnsi="Arial" w:eastAsia="Arial"/>
          <w:strike w:val="false"/>
          <w:color w:val="000000"/>
          <w:spacing w:val="0"/>
          <w:w w:val="100"/>
          <w:sz w:val="28"/>
          <w:u w:val="single"/>
          <w:vertAlign w:val="baseline"/>
          <w:lang w:val="en-US"/>
        </w:rPr>
      </w:pP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and define the Penal Law crime</w:t>
      </w:r>
      <w:r>
        <w:rPr>
          <w:rFonts w:ascii="Arial" w:hAnsi="Arial" w:eastAsia="Arial"/>
          <w:strike w:val="false"/>
          <w:color w:val="000000"/>
          <w:spacing w:val="0"/>
          <w:w w:val="100"/>
          <w:sz w:val="28"/>
          <w:u w:val="single"/>
          <w:vertAlign w:val="baseline"/>
          <w:lang w:val="en-US"/>
        </w:rPr>
        <w:t xml:space="preserve">.)</w:t>
      </w:r>
    </w:p>
    <w:p>
      <w:pPr>
        <w:pageBreakBefore w:val="false"/>
        <w:spacing w:before="327" w:after="0" w:line="322"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[PERSONAL IDENTIFICATION NUMBER means any number or code which may be used alone or in conjunction with any other information to assume the identity of another person or access financial information or credit of another person</w:t>
      </w:r>
      <w:r>
        <w:rPr>
          <w:rFonts w:ascii="Arial" w:hAnsi="Arial" w:eastAsia="Arial"/>
          <w:strike w:val="false"/>
          <w:color w:val="000000"/>
          <w:spacing w:val="-2"/>
          <w:w w:val="100"/>
          <w:sz w:val="28"/>
          <w:vertAlign w:val="superscript"/>
          <w:lang w:val="en-US"/>
        </w:rPr>
        <w:t xml:space="preserve">4</w:t>
      </w:r>
      <w:r>
        <w:rPr>
          <w:rFonts w:ascii="Arial" w:hAnsi="Arial" w:eastAsia="Arial"/>
          <w:strike w:val="false"/>
          <w:color w:val="000000"/>
          <w:spacing w:val="-2"/>
          <w:w w:val="100"/>
          <w:sz w:val="28"/>
          <w:vertAlign w:val="baseline"/>
          <w:lang w:val="en-US"/>
        </w:rPr>
        <w:t xml:space="preserve">].</w:t>
      </w:r>
    </w:p>
    <w:p>
      <w:pPr>
        <w:pageBreakBefore w:val="false"/>
        <w:spacing w:before="331"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[ELECTRONIC SIGNATURE means an electronic sound, symbol, or process attached to or logically associated with an electronic record and executed or adopted by a person with the intent to sign the record</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w:t>
      </w:r>
    </w:p>
    <w:p>
      <w:pPr>
        <w:pageBreakBefore w:val="false"/>
        <w:spacing w:before="338"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elements:</w:t>
      </w:r>
    </w:p>
    <w:p>
      <w:pPr>
        <w:pageBreakBefore w:val="false"/>
        <w:tabs>
          <w:tab w:val="left" w:leader="none" w:pos="2160"/>
        </w:tabs>
        <w:spacing w:before="336" w:after="521" w:line="323" w:lineRule="exact"/>
        <w:ind w:right="2160" w:left="216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knowingly possessed</w:t>
      </w:r>
    </w:p>
    <w:p>
      <w:pPr>
        <w:pageBreakBefore w:val="false"/>
        <w:spacing w:before="257"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2</w:t>
      </w:r>
      <w:r>
        <w:rPr>
          <w:rFonts w:ascii="Arial" w:hAnsi="Arial" w:eastAsia="Arial"/>
          <w:i w:val="true"/>
          <w:strike w:val="false"/>
          <w:color w:val="000000"/>
          <w:spacing w:val="-1"/>
          <w:w w:val="100"/>
          <w:sz w:val="26"/>
          <w:vertAlign w:val="baseline"/>
          <w:lang w:val="en-US"/>
        </w:rPr>
        <w:t xml:space="preserve">See </w:t>
      </w:r>
      <w:r>
        <w:rPr>
          <w:rFonts w:ascii="Arial" w:hAnsi="Arial" w:eastAsia="Arial"/>
          <w:strike w:val="false"/>
          <w:color w:val="000000"/>
          <w:spacing w:val="-1"/>
          <w:w w:val="100"/>
          <w:sz w:val="26"/>
          <w:vertAlign w:val="baseline"/>
          <w:lang w:val="en-US"/>
        </w:rPr>
        <w:t xml:space="preserve">Penal Law §10.00(8).</w:t>
      </w:r>
    </w:p>
    <w:p>
      <w:pPr>
        <w:pageBreakBefore w:val="false"/>
        <w:spacing w:before="239"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3</w:t>
      </w:r>
      <w:r>
        <w:rPr>
          <w:rFonts w:ascii="Arial" w:hAnsi="Arial" w:eastAsia="Arial"/>
          <w:i w:val="true"/>
          <w:strike w:val="false"/>
          <w:color w:val="000000"/>
          <w:spacing w:val="-1"/>
          <w:w w:val="100"/>
          <w:sz w:val="26"/>
          <w:vertAlign w:val="baseline"/>
          <w:lang w:val="en-US"/>
        </w:rPr>
        <w:t xml:space="preserve">See </w:t>
      </w:r>
      <w:r>
        <w:rPr>
          <w:rFonts w:ascii="Arial" w:hAnsi="Arial" w:eastAsia="Arial"/>
          <w:strike w:val="false"/>
          <w:color w:val="000000"/>
          <w:spacing w:val="-1"/>
          <w:w w:val="100"/>
          <w:sz w:val="26"/>
          <w:vertAlign w:val="baseline"/>
          <w:lang w:val="en-US"/>
        </w:rPr>
        <w:t xml:space="preserve">Penal Law §15.05(2).</w:t>
      </w:r>
    </w:p>
    <w:p>
      <w:pPr>
        <w:pageBreakBefore w:val="false"/>
        <w:spacing w:before="239"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4</w:t>
      </w:r>
      <w:r>
        <w:rPr>
          <w:rFonts w:ascii="Arial" w:hAnsi="Arial" w:eastAsia="Arial"/>
          <w:i w:val="true"/>
          <w:strike w:val="false"/>
          <w:color w:val="000000"/>
          <w:spacing w:val="-1"/>
          <w:w w:val="100"/>
          <w:sz w:val="26"/>
          <w:vertAlign w:val="baseline"/>
          <w:lang w:val="en-US"/>
        </w:rPr>
        <w:t xml:space="preserve">See </w:t>
      </w:r>
      <w:r>
        <w:rPr>
          <w:rFonts w:ascii="Arial" w:hAnsi="Arial" w:eastAsia="Arial"/>
          <w:strike w:val="false"/>
          <w:color w:val="000000"/>
          <w:spacing w:val="-1"/>
          <w:w w:val="100"/>
          <w:sz w:val="26"/>
          <w:vertAlign w:val="baseline"/>
          <w:lang w:val="en-US"/>
        </w:rPr>
        <w:t xml:space="preserve">Penal Law §190.77(2)(b).</w:t>
      </w:r>
    </w:p>
    <w:p>
      <w:pPr>
        <w:pageBreakBefore w:val="false"/>
        <w:spacing w:before="241" w:after="0" w:line="299" w:lineRule="exact"/>
        <w:ind w:right="0" w:left="720" w:firstLine="0"/>
        <w:jc w:val="left"/>
        <w:textAlignment w:val="baseline"/>
        <w:rPr>
          <w:rFonts w:ascii="Arial" w:hAnsi="Arial" w:eastAsia="Arial"/>
          <w:strike w:val="false"/>
          <w:color w:val="000000"/>
          <w:spacing w:val="-2"/>
          <w:w w:val="100"/>
          <w:sz w:val="16"/>
          <w:vertAlign w:val="superscript"/>
          <w:lang w:val="en-US"/>
        </w:rPr>
      </w:pPr>
      <w:r>
        <w:rPr>
          <w:rFonts w:ascii="Arial" w:hAnsi="Arial" w:eastAsia="Arial"/>
          <w:strike w:val="false"/>
          <w:color w:val="000000"/>
          <w:spacing w:val="-2"/>
          <w:w w:val="100"/>
          <w:sz w:val="16"/>
          <w:vertAlign w:val="superscript"/>
          <w:lang w:val="en-US"/>
        </w:rPr>
        <w:t xml:space="preserve">5</w:t>
      </w:r>
      <w:r>
        <w:rPr>
          <w:rFonts w:ascii="Arial" w:hAnsi="Arial" w:eastAsia="Arial"/>
          <w:i w:val="true"/>
          <w:strike w:val="false"/>
          <w:color w:val="000000"/>
          <w:spacing w:val="-2"/>
          <w:w w:val="100"/>
          <w:sz w:val="26"/>
          <w:vertAlign w:val="baseline"/>
          <w:lang w:val="en-US"/>
        </w:rPr>
        <w:t xml:space="preserve">See </w:t>
      </w:r>
      <w:r>
        <w:rPr>
          <w:rFonts w:ascii="Arial" w:hAnsi="Arial" w:eastAsia="Arial"/>
          <w:strike w:val="false"/>
          <w:color w:val="000000"/>
          <w:spacing w:val="-2"/>
          <w:w w:val="100"/>
          <w:sz w:val="26"/>
          <w:vertAlign w:val="baseline"/>
          <w:lang w:val="en-US"/>
        </w:rPr>
        <w:t xml:space="preserve">State Technology Law §102(3); Penal Law §190.77(2)(a).</w:t>
      </w:r>
    </w:p>
    <w:p>
      <w:pPr>
        <w:sectPr>
          <w:footerReference w:type="default" r:id="fId0"/>
          <w:type w:val="nextPage"/>
          <w:pgSz w:w="12240" w:h="15840" w:orient="portrait"/>
          <w:pgMar w:bottom="1330" w:top="1440" w:right="2145" w:left="2155" w:header="720" w:footer="1488"/>
          <w:titlePg w:val="false"/>
          <w:textDirection w:val="lrTb"/>
        </w:sectPr>
      </w:pPr>
    </w:p>
    <w:p>
      <w:pPr>
        <w:pageBreakBefore w:val="false"/>
        <w:spacing w:before="8" w:after="0" w:line="324" w:lineRule="exact"/>
        <w:ind w:right="2160" w:left="216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two hundred fifty or more items o f personal identification information of the following nature: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and</w:t>
      </w:r>
    </w:p>
    <w:p>
      <w:pPr>
        <w:pageBreakBefore w:val="false"/>
        <w:tabs>
          <w:tab w:val="left" w:leader="none" w:pos="2160"/>
        </w:tabs>
        <w:spacing w:before="324" w:after="0" w:line="324" w:lineRule="exact"/>
        <w:ind w:right="2160" w:left="216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w:t>
      </w:r>
      <w:r>
        <w:rPr>
          <w:rFonts w:ascii="Arial" w:hAnsi="Arial" w:eastAsia="Arial"/>
          <w:strike w:val="false"/>
          <w:color w:val="000000"/>
          <w:spacing w:val="0"/>
          <w:w w:val="100"/>
          <w:sz w:val="28"/>
          <w:vertAlign w:val="baseline"/>
          <w:lang w:val="en-US"/>
        </w:rPr>
        <w:t xml:space="preserve">That the defendant knew that such information was intended to be used in furtherance o f the commission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crime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26" w:after="0" w:line="321"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an affirmative defense does not apply, then conclude with the following two paragraphs. If the affirmative defense does apply, then omit the following two paragraphs, and insert here the affirmative defense charge in the Additional Charges section to this article.</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1323" w:top="1440" w:right="2145" w:left="2155"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1"/>
      </w:tabs>
      <w:spacing w:before="0" w:after="0" w:line="28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