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IN THE SECOND DEGREE</w:t>
        <w:br/>
      </w:r>
      <w:r>
        <w:rPr>
          <w:rFonts w:ascii="Arial" w:hAnsi="Arial" w:eastAsia="Arial"/>
          <w:b w:val="true"/>
          <w:color w:val="000000"/>
          <w:spacing w:val="0"/>
          <w:w w:val="100"/>
          <w:sz w:val="28"/>
          <w:vertAlign w:val="baseline"/>
          <w:lang w:val="en-US"/>
        </w:rPr>
        <w:t xml:space="preserve">(Commits or attempts felony)</w:t>
        <w:br/>
      </w:r>
      <w:r>
        <w:rPr>
          <w:rFonts w:ascii="Arial" w:hAnsi="Arial" w:eastAsia="Arial"/>
          <w:b w:val="true"/>
          <w:color w:val="000000"/>
          <w:spacing w:val="0"/>
          <w:w w:val="100"/>
          <w:sz w:val="28"/>
          <w:vertAlign w:val="baseline"/>
          <w:lang w:val="en-US"/>
        </w:rPr>
        <w:t xml:space="preserve">Penal Law § 190.79(3)</w:t>
        <w:br/>
      </w:r>
      <w:r>
        <w:rPr>
          <w:rFonts w:ascii="Arial" w:hAnsi="Arial" w:eastAsia="Arial"/>
          <w:b w:val="true"/>
          <w:color w:val="000000"/>
          <w:spacing w:val="0"/>
          <w:w w:val="100"/>
          <w:sz w:val="28"/>
          <w:vertAlign w:val="baseline"/>
          <w:lang w:val="en-US"/>
        </w:rPr>
        <w:t xml:space="preserve">(Committed on or after Nov. 1, 2002)</w:t>
      </w:r>
    </w:p>
    <w:p>
      <w:pPr>
        <w:pageBreakBefore w:val="false"/>
        <w:spacing w:before="328" w:after="0" w:line="319"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(specify) count is Identity Theft in the Second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Second degree when he or she knowingly, and with intent to defraud, assumes the identity of another person</w:t>
      </w:r>
    </w:p>
    <w:p>
      <w:pPr>
        <w:pageBreakBefore w:val="false"/>
        <w:spacing w:before="329"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3"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8"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thereby commits or attempts to commit a felony [or acts as an accessory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to the commission of a felony].</w:t>
      </w:r>
    </w:p>
    <w:p>
      <w:pPr>
        <w:pageBreakBefore w:val="false"/>
        <w:spacing w:before="331"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5"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has assumed the identity of that other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393" w:line="319" w:lineRule="exact"/>
        <w:ind w:right="0" w:left="720" w:firstLine="0"/>
        <w:jc w:val="both"/>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PERSONAL IDENTIFYING INFORMATION means a</w:t>
      </w:r>
    </w:p>
    <w:p>
      <w:pPr>
        <w:pageBreakBefore w:val="false"/>
        <w:spacing w:before="262" w:after="0" w:line="276" w:lineRule="exact"/>
        <w:ind w:right="0" w:left="0" w:firstLine="720"/>
        <w:jc w:val="both"/>
        <w:textAlignment w:val="baseline"/>
        <w:rPr>
          <w:rFonts w:ascii="Arial" w:hAnsi="Arial" w:eastAsia="Arial"/>
          <w:color w:val="000000"/>
          <w:spacing w:val="-4"/>
          <w:w w:val="100"/>
          <w:sz w:val="16"/>
          <w:vertAlign w:val="superscript"/>
          <w:lang w:val="en-US"/>
        </w:rPr>
      </w:pPr>
      <w:r>
        <w:pict>
          <v:line strokeweight="1.2pt" strokecolor="#000000" from="108pt,589.9pt" to="252.05pt,589.9pt" style="position:absolute;mso-position-horizontal-relative:page;mso-position-vertical-relative:page;">
            <v:stroke dashstyle="solid"/>
          </v:line>
        </w:pict>
      </w:r>
      <w:r>
        <w:rPr>
          <w:rFonts w:ascii="Arial" w:hAnsi="Arial" w:eastAsia="Arial"/>
          <w:color w:val="000000"/>
          <w:spacing w:val="-4"/>
          <w:w w:val="100"/>
          <w:sz w:val="16"/>
          <w:vertAlign w:val="superscript"/>
          <w:lang w:val="en-US"/>
        </w:rPr>
        <w:t xml:space="preserve">1</w:t>
      </w:r>
      <w:r>
        <w:rPr>
          <w:rFonts w:ascii="Arial" w:hAnsi="Arial" w:eastAsia="Arial"/>
          <w:i w:val="true"/>
          <w:color w:val="000000"/>
          <w:spacing w:val="-4"/>
          <w:w w:val="100"/>
          <w:sz w:val="24"/>
          <w:vertAlign w:val="baseline"/>
          <w:lang w:val="en-US"/>
        </w:rPr>
        <w:t xml:space="preserve"> See People v. Roberts</w:t>
      </w:r>
      <w:r>
        <w:rPr>
          <w:rFonts w:ascii="Arial" w:hAnsi="Arial" w:eastAsia="Arial"/>
          <w:color w:val="000000"/>
          <w:spacing w:val="-4"/>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259"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See CJI [NY] General Applicability, Accessorial Liability.</w:t>
      </w:r>
    </w:p>
    <w:p>
      <w:pPr>
        <w:pageBreakBefore w:val="false"/>
        <w:spacing w:before="260"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§15.05(2).</w:t>
      </w:r>
    </w:p>
    <w:p>
      <w:pPr>
        <w:pageBreakBefore w:val="false"/>
        <w:spacing w:before="247" w:after="0" w:line="300" w:lineRule="exact"/>
        <w:ind w:right="0" w:left="72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4</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§15.05(1).</w:t>
      </w:r>
    </w:p>
    <w:p>
      <w:pPr>
        <w:sectPr>
          <w:type w:val="nextPage"/>
          <w:pgSz w:w="12240" w:h="15840" w:orient="portrait"/>
          <w:pgMar w:bottom="624" w:top="980" w:right="2140" w:left="2160" w:header="720" w:footer="720"/>
          <w:titlePg w:val="false"/>
          <w:textDirection w:val="lrTb"/>
        </w:sectPr>
      </w:pPr>
    </w:p>
    <w:p>
      <w:pPr>
        <w:pageBreakBefore w:val="false"/>
        <w:spacing w:before="0" w:after="0" w:line="321"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person’s:</w:t>
      </w:r>
    </w:p>
    <w:p>
      <w:pPr>
        <w:pageBreakBefore w:val="false"/>
        <w:spacing w:before="319" w:after="0" w:line="32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alternative(s)</w:t>
      </w:r>
      <w:r>
        <w:rPr>
          <w:rFonts w:ascii="Arial" w:hAnsi="Arial" w:eastAsia="Arial"/>
          <w:color w:val="000000"/>
          <w:spacing w:val="0"/>
          <w:w w:val="100"/>
          <w:sz w:val="28"/>
          <w:vertAlign w:val="baseline"/>
          <w:lang w:val="en-US"/>
        </w:rPr>
        <w:t xml:space="preserve">:</w:t>
      </w:r>
    </w:p>
    <w:p>
      <w:pPr>
        <w:pageBreakBefore w:val="false"/>
        <w:spacing w:before="646" w:after="0" w:line="324"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2" w:after="0" w:line="324"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2" w:after="0" w:line="324" w:lineRule="exact"/>
        <w:ind w:right="0" w:left="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21"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28"/>
          <w:vertAlign w:val="baseline"/>
          <w:lang w:val="en-US"/>
        </w:rPr>
        <w:t xml:space="preserve">,</w:t>
      </w:r>
    </w:p>
    <w:p>
      <w:pPr>
        <w:pageBreakBefore w:val="false"/>
        <w:spacing w:before="3" w:after="0" w:line="324"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unique biometric data that is a fingerprint, voice print, retinal</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0" w:after="0" w:line="319"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 personal identification number</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1" w:after="464" w:line="324"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or any other name, number, code or information that may be used</w:t>
      </w:r>
    </w:p>
    <w:p>
      <w:pPr>
        <w:pageBreakBefore w:val="false"/>
        <w:spacing w:before="279" w:after="0" w:line="276" w:lineRule="exact"/>
        <w:ind w:right="0" w:left="0" w:firstLine="720"/>
        <w:jc w:val="both"/>
        <w:textAlignment w:val="baseline"/>
        <w:rPr>
          <w:rFonts w:ascii="Arial" w:hAnsi="Arial" w:eastAsia="Arial"/>
          <w:color w:val="000000"/>
          <w:spacing w:val="-3"/>
          <w:w w:val="100"/>
          <w:sz w:val="16"/>
          <w:vertAlign w:val="superscript"/>
          <w:lang w:val="en-US"/>
        </w:rPr>
      </w:pPr>
      <w:r>
        <w:pict>
          <v:line strokeweight="0.95pt" strokecolor="#000000" from="107.75pt,559.9pt" to="252.05pt,559.9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5</w:t>
      </w:r>
      <w:r>
        <w:rPr>
          <w:rFonts w:ascii="Arial" w:hAnsi="Arial" w:eastAsia="Arial"/>
          <w:color w:val="000000"/>
          <w:spacing w:val="-3"/>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§190.77(2)(a); State Technology Law §102(3).</w:t>
      </w:r>
    </w:p>
    <w:p>
      <w:pPr>
        <w:pageBreakBefore w:val="false"/>
        <w:spacing w:before="263" w:after="0" w:line="276"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6</w:t>
      </w:r>
      <w:r>
        <w:rPr>
          <w:rFonts w:ascii="Arial" w:hAnsi="Arial" w:eastAsia="Arial"/>
          <w:color w:val="000000"/>
          <w:spacing w:val="-2"/>
          <w:w w:val="100"/>
          <w:sz w:val="24"/>
          <w:vertAlign w:val="baseline"/>
          <w:lang w:val="en-US"/>
        </w:rPr>
        <w:t xml:space="preserve"> “Personal identification number” is a separately defined term and if in issue, the Court should charge as follows: PERSONAL IDENTIFICATION NUMBER means any number or code which may be used alone or in conjunction with any other information to assume the identity of another person or access financial resources or credit of another person. Penal Law §190.77(2)(b).</w:t>
      </w:r>
    </w:p>
    <w:p>
      <w:pPr>
        <w:sectPr>
          <w:type w:val="nextPage"/>
          <w:pgSz w:w="12240" w:h="15840" w:orient="portrait"/>
          <w:pgMar w:bottom="664" w:top="1000" w:right="2145" w:left="2155" w:header="720" w:footer="720"/>
          <w:titlePg w:val="false"/>
          <w:textDirection w:val="lrTb"/>
        </w:sectPr>
      </w:pPr>
    </w:p>
    <w:p>
      <w:pPr>
        <w:pageBreakBefore w:val="false"/>
        <w:spacing w:before="5" w:after="0" w:line="31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alone or in conjunction with other such information to assume the identity of another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661"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is a FELONY].</w:t>
      </w:r>
    </w:p>
    <w:p>
      <w:pPr>
        <w:pageBreakBefore w:val="false"/>
        <w:spacing w:before="322" w:after="0" w:line="321" w:lineRule="exact"/>
        <w:ind w:right="720" w:left="720" w:firstLine="0"/>
        <w:jc w:val="both"/>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If the applicable felony is a count of the indictment, it should be charged first and the definition incorporated by reference here. Otherwise, the jury should be instructed on the definition of the applicable felony.</w:t>
      </w:r>
    </w:p>
    <w:p>
      <w:pPr>
        <w:pageBreakBefore w:val="false"/>
        <w:spacing w:before="325"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4" w:after="0" w:line="321"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4"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7"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7" w:after="0" w:line="319" w:lineRule="exact"/>
        <w:ind w:right="0" w:left="144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by using personal identifying information of that</w:t>
      </w:r>
    </w:p>
    <w:p>
      <w:pPr>
        <w:pageBreakBefore w:val="false"/>
        <w:spacing w:before="3" w:after="0" w:line="319" w:lineRule="exact"/>
        <w:ind w:right="0" w:left="144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person,;</w:t>
      </w:r>
    </w:p>
    <w:p>
      <w:pPr>
        <w:pageBreakBefore w:val="false"/>
        <w:numPr>
          <w:ilvl w:val="0"/>
          <w:numId w:val="1"/>
        </w:numPr>
        <w:tabs>
          <w:tab w:val="clear" w:pos="720"/>
          <w:tab w:val="left" w:pos="1440"/>
        </w:tabs>
        <w:spacing w:before="326" w:after="0" w:line="322" w:lineRule="exact"/>
        <w:ind w:right="144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 and</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committed or attempted to commit (</w:t>
      </w:r>
      <w:r>
        <w:rPr>
          <w:rFonts w:ascii="Arial" w:hAnsi="Arial" w:eastAsia="Arial"/>
          <w:i w:val="true"/>
          <w:color w:val="000000"/>
          <w:spacing w:val="0"/>
          <w:w w:val="100"/>
          <w:sz w:val="28"/>
          <w:vertAlign w:val="baseline"/>
          <w:lang w:val="en-US"/>
        </w:rPr>
        <w:t xml:space="preserve">specify felony</w:t>
      </w:r>
      <w:r>
        <w:rPr>
          <w:rFonts w:ascii="Arial" w:hAnsi="Arial" w:eastAsia="Arial"/>
          <w:color w:val="000000"/>
          <w:spacing w:val="0"/>
          <w:w w:val="100"/>
          <w:sz w:val="28"/>
          <w:vertAlign w:val="baseline"/>
          <w:lang w:val="en-US"/>
        </w:rPr>
        <w:t xml:space="preserve">) [or acted as an accessory to the commission of that felony].</w:t>
      </w:r>
    </w:p>
    <w:p>
      <w:pPr>
        <w:pageBreakBefore w:val="false"/>
        <w:spacing w:before="333" w:after="269"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instruction in the Additional Charges section to this article.</w:t>
      </w:r>
    </w:p>
    <w:p>
      <w:pPr>
        <w:pageBreakBefore w:val="false"/>
        <w:spacing w:before="277" w:after="0" w:line="277"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7.75pt,711.1pt" to="252.05pt,711.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§190.77(1).</w:t>
      </w:r>
    </w:p>
    <w:p>
      <w:pPr>
        <w:sectPr>
          <w:type w:val="nextPage"/>
          <w:pgSz w:w="12240" w:h="15840" w:orient="portrait"/>
          <w:pgMar w:bottom="644" w:top="1000" w:right="2145" w:left="2155"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1844" w:top="132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