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SECOND DEGREE</w:t>
        <w:br/>
      </w:r>
      <w:r>
        <w:rPr>
          <w:rFonts w:ascii="Arial" w:hAnsi="Arial" w:eastAsia="Arial"/>
          <w:b w:val="true"/>
          <w:color w:val="000000"/>
          <w:spacing w:val="0"/>
          <w:w w:val="100"/>
          <w:sz w:val="28"/>
          <w:vertAlign w:val="baseline"/>
          <w:lang w:val="en-US"/>
        </w:rPr>
        <w:t xml:space="preserve">(Financial loss exceeding $500)</w:t>
        <w:br/>
      </w:r>
      <w:r>
        <w:rPr>
          <w:rFonts w:ascii="Arial" w:hAnsi="Arial" w:eastAsia="Arial"/>
          <w:b w:val="true"/>
          <w:color w:val="000000"/>
          <w:spacing w:val="0"/>
          <w:w w:val="100"/>
          <w:sz w:val="28"/>
          <w:vertAlign w:val="baseline"/>
          <w:lang w:val="en-US"/>
        </w:rPr>
        <w:t xml:space="preserve">Penal Law § 190.79(2)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327" w:after="0" w:line="319"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(specify) count is Identity Theft in the Second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Second degree when he or she knowingly, and with intent to defraud, assumes the identity of another person</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3"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2"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and thereby causes financial loss to such person or to another person in an aggregate amount that exceeds five hundred dollars.</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8"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8"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5" w:after="508"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 person’s</w:t>
      </w:r>
    </w:p>
    <w:p>
      <w:pPr>
        <w:pageBreakBefore w:val="false"/>
        <w:spacing w:before="262" w:after="0" w:line="276" w:lineRule="exact"/>
        <w:ind w:right="0" w:left="0" w:firstLine="720"/>
        <w:jc w:val="both"/>
        <w:textAlignment w:val="baseline"/>
        <w:rPr>
          <w:rFonts w:ascii="Arial" w:hAnsi="Arial" w:eastAsia="Arial"/>
          <w:color w:val="000000"/>
          <w:spacing w:val="-4"/>
          <w:w w:val="100"/>
          <w:sz w:val="16"/>
          <w:vertAlign w:val="superscript"/>
          <w:lang w:val="en-US"/>
        </w:rPr>
      </w:pPr>
      <w:r>
        <w:pict>
          <v:line strokeweight="1.2pt" strokecolor="#000000" from="108pt,616.8pt" to="252.05pt,616.8pt" style="position:absolute;mso-position-horizontal-relative:page;mso-position-vertical-relative:page;">
            <v:stroke dashstyle="solid"/>
          </v:line>
        </w:pict>
      </w:r>
      <w:r>
        <w:rPr>
          <w:rFonts w:ascii="Arial" w:hAnsi="Arial" w:eastAsia="Arial"/>
          <w:color w:val="000000"/>
          <w:spacing w:val="-4"/>
          <w:w w:val="100"/>
          <w:sz w:val="16"/>
          <w:vertAlign w:val="superscript"/>
          <w:lang w:val="en-US"/>
        </w:rPr>
        <w:t xml:space="preserve">1</w:t>
      </w:r>
      <w:r>
        <w:rPr>
          <w:rFonts w:ascii="Arial" w:hAnsi="Arial" w:eastAsia="Arial"/>
          <w:i w:val="true"/>
          <w:color w:val="000000"/>
          <w:spacing w:val="-4"/>
          <w:w w:val="100"/>
          <w:sz w:val="24"/>
          <w:vertAlign w:val="baseline"/>
          <w:lang w:val="en-US"/>
        </w:rPr>
        <w:t xml:space="preserve"> See People v. Roberts</w:t>
      </w:r>
      <w:r>
        <w:rPr>
          <w:rFonts w:ascii="Arial" w:hAnsi="Arial" w:eastAsia="Arial"/>
          <w:color w:val="000000"/>
          <w:spacing w:val="-4"/>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42" w:after="0" w:line="299"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2</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§15.05(2).</w:t>
      </w:r>
    </w:p>
    <w:p>
      <w:pPr>
        <w:pageBreakBefore w:val="false"/>
        <w:spacing w:before="239" w:after="0" w:line="299"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§15.05(1).</w:t>
      </w:r>
    </w:p>
    <w:p>
      <w:pPr>
        <w:sectPr>
          <w:type w:val="nextPage"/>
          <w:pgSz w:w="12240" w:h="15840" w:orient="portrait"/>
          <w:pgMar w:bottom="624" w:top="1080" w:right="2140" w:left="2160" w:header="720" w:footer="720"/>
          <w:titlePg w:val="false"/>
          <w:textDirection w:val="lrTb"/>
        </w:sectPr>
      </w:pPr>
    </w:p>
    <w:p>
      <w:pPr>
        <w:pageBreakBefore w:val="false"/>
        <w:spacing w:before="15" w:after="0" w:line="318"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p>
    <w:p>
      <w:pPr>
        <w:pageBreakBefore w:val="false"/>
        <w:spacing w:before="326"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0" w:after="0" w:line="321"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4" w:after="0" w:line="323"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4"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unique biometric data that is a fingerprint, voice print, retinal</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0" w:after="0" w:line="318"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2"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 used</w:t>
      </w:r>
    </w:p>
    <w:p>
      <w:pPr>
        <w:pageBreakBefore w:val="false"/>
        <w:spacing w:before="3" w:after="695" w:line="323"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alone or in conjunction with other such information to assume the</w:t>
      </w:r>
    </w:p>
    <w:p>
      <w:pPr>
        <w:pageBreakBefore w:val="false"/>
        <w:spacing w:before="279" w:after="0" w:line="276"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7.75pt,559.9pt" to="252.05pt,559.9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4</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§190.77(2)(a); State Technology Law §102(3).</w:t>
      </w:r>
    </w:p>
    <w:p>
      <w:pPr>
        <w:pageBreakBefore w:val="false"/>
        <w:spacing w:before="263" w:after="0" w:line="276"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5</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NUMBER means any 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664" w:top="1400" w:right="2145" w:left="2155" w:header="720" w:footer="720"/>
          <w:titlePg w:val="false"/>
          <w:textDirection w:val="lrTb"/>
        </w:sectPr>
      </w:pPr>
    </w:p>
    <w:p>
      <w:pPr>
        <w:pageBreakBefore w:val="false"/>
        <w:spacing w:before="43" w:after="0" w:line="319"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identity of another person.</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28"/>
          <w:vertAlign w:val="baseline"/>
          <w:lang w:val="en-US"/>
        </w:rPr>
        <w:t xml:space="preserve">]</w:t>
      </w:r>
    </w:p>
    <w:p>
      <w:pPr>
        <w:pageBreakBefore w:val="false"/>
        <w:spacing w:before="33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9" w:after="0" w:line="321"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8"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2" w:after="0" w:line="319" w:lineRule="exact"/>
        <w:ind w:right="0" w:left="144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by using personal identifying information of that</w:t>
      </w:r>
    </w:p>
    <w:p>
      <w:pPr>
        <w:pageBreakBefore w:val="false"/>
        <w:spacing w:before="8" w:after="0" w:line="319"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w:t>
      </w:r>
    </w:p>
    <w:p>
      <w:pPr>
        <w:pageBreakBefore w:val="false"/>
        <w:numPr>
          <w:ilvl w:val="0"/>
          <w:numId w:val="1"/>
        </w:numPr>
        <w:tabs>
          <w:tab w:val="clear" w:pos="720"/>
          <w:tab w:val="left" w:pos="1440"/>
        </w:tabs>
        <w:spacing w:before="317" w:after="0" w:line="326" w:lineRule="exact"/>
        <w:ind w:right="144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caused financial loss to such person or to another person; and</w:t>
      </w:r>
    </w:p>
    <w:p>
      <w:pPr>
        <w:pageBreakBefore w:val="false"/>
        <w:numPr>
          <w:ilvl w:val="0"/>
          <w:numId w:val="1"/>
        </w:numPr>
        <w:tabs>
          <w:tab w:val="clear" w:pos="720"/>
          <w:tab w:val="left" w:pos="1440"/>
        </w:tabs>
        <w:spacing w:before="317"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financial loss was in an aggregate amount that exceeds five hundred dollars.</w:t>
      </w:r>
    </w:p>
    <w:p>
      <w:pPr>
        <w:pageBreakBefore w:val="false"/>
        <w:spacing w:before="650"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488" w:line="327"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any one or more of those elements, you must find the</w:t>
      </w:r>
    </w:p>
    <w:p>
      <w:pPr>
        <w:pageBreakBefore w:val="false"/>
        <w:spacing w:before="260" w:after="0" w:line="300" w:lineRule="exact"/>
        <w:ind w:right="0" w:left="720" w:firstLine="0"/>
        <w:jc w:val="left"/>
        <w:textAlignment w:val="baseline"/>
        <w:rPr>
          <w:rFonts w:ascii="Arial" w:hAnsi="Arial" w:eastAsia="Arial"/>
          <w:color w:val="000000"/>
          <w:spacing w:val="-1"/>
          <w:w w:val="100"/>
          <w:sz w:val="16"/>
          <w:vertAlign w:val="superscript"/>
          <w:lang w:val="en-US"/>
        </w:rPr>
      </w:pPr>
      <w:r>
        <w:pict>
          <v:line strokeweight="1.2pt" strokecolor="#000000" from="107.75pt,711.1pt" to="252.05pt,711.1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6</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§190.77(1).</w:t>
      </w:r>
    </w:p>
    <w:p>
      <w:pPr>
        <w:sectPr>
          <w:type w:val="nextPage"/>
          <w:pgSz w:w="12240" w:h="15840" w:orient="portrait"/>
          <w:pgMar w:bottom="624" w:top="1040" w:right="2145" w:left="2155" w:header="720" w:footer="720"/>
          <w:titlePg w:val="false"/>
          <w:textDirection w:val="lrTb"/>
        </w:sectPr>
      </w:pPr>
    </w:p>
    <w:p>
      <w:pPr>
        <w:pageBreakBefore w:val="false"/>
        <w:spacing w:before="8"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this crime.</w:t>
      </w:r>
    </w:p>
    <w:sectPr>
      <w:type w:val="nextPage"/>
      <w:pgSz w:w="12240" w:h="15840" w:orient="portrait"/>
      <w:pgMar w:bottom="14024" w:top="1080" w:right="575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