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</w:t>
        <w:br/>
      </w:r>
      <w:r>
        <w:rPr>
          <w:rFonts w:ascii="Arial" w:hAnsi="Arial" w:eastAsia="Arial"/>
          <w:b w:val="true"/>
          <w:strike w:val="false"/>
          <w:color w:val="000000"/>
          <w:spacing w:val="0"/>
          <w:w w:val="100"/>
          <w:sz w:val="28"/>
          <w:vertAlign w:val="baseline"/>
          <w:lang w:val="en-US"/>
        </w:rPr>
        <w:t xml:space="preserve">(Avoiding Payment For Transportation Services)</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165.15(3)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8"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19"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a person is guilty of Theft of Services when, with intent to obtain railroad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subway]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bus]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air]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taxi]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(any other) public transportation] service without payment of the lawful charge for such service or to avoid payment of the lawful charge for such transportation service which has been rendered to him, that person avoids [or attempts to avoid] payment therefor by force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intimidation]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stealth]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deception]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mechanical tampering]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by unjustifiable failure or refusal to pay].</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obtain railroad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subway]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bus]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air]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taxi]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public transportation] service without payment of the lawful charge for such service or to avoid payment of the lawful charge for such transportation service which has been rendered to him when that person's conscious objective or purpose is to do so.</w:t>
      </w:r>
    </w:p>
    <w:p>
      <w:pPr>
        <w:pageBreakBefore w:val="false"/>
        <w:spacing w:before="334" w:after="450" w:line="321" w:lineRule="exact"/>
        <w:ind w:right="0" w:left="0" w:firstLine="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[A person ATTEMPTS to avoid payment of the lawful charge for a transportation service by force [</w:t>
      </w:r>
      <w:r>
        <w:rPr>
          <w:rFonts w:ascii="Arial" w:hAnsi="Arial" w:eastAsia="Arial"/>
          <w:i w:val="true"/>
          <w:strike w:val="false"/>
          <w:color w:val="000000"/>
          <w:spacing w:val="-6"/>
          <w:w w:val="100"/>
          <w:sz w:val="28"/>
          <w:vertAlign w:val="baseline"/>
          <w:lang w:val="en-US"/>
        </w:rPr>
        <w:t xml:space="preserve">or </w:t>
      </w:r>
      <w:r>
        <w:rPr>
          <w:rFonts w:ascii="Arial" w:hAnsi="Arial" w:eastAsia="Arial"/>
          <w:strike w:val="false"/>
          <w:color w:val="000000"/>
          <w:spacing w:val="-6"/>
          <w:w w:val="100"/>
          <w:sz w:val="28"/>
          <w:vertAlign w:val="baseline"/>
          <w:lang w:val="en-US"/>
        </w:rPr>
        <w:t xml:space="preserve">intimidation] [</w:t>
      </w:r>
      <w:r>
        <w:rPr>
          <w:rFonts w:ascii="Arial" w:hAnsi="Arial" w:eastAsia="Arial"/>
          <w:i w:val="true"/>
          <w:strike w:val="false"/>
          <w:color w:val="000000"/>
          <w:spacing w:val="-6"/>
          <w:w w:val="100"/>
          <w:sz w:val="28"/>
          <w:vertAlign w:val="baseline"/>
          <w:lang w:val="en-US"/>
        </w:rPr>
        <w:t xml:space="preserve">or </w:t>
      </w:r>
      <w:r>
        <w:rPr>
          <w:rFonts w:ascii="Arial" w:hAnsi="Arial" w:eastAsia="Arial"/>
          <w:strike w:val="false"/>
          <w:color w:val="000000"/>
          <w:spacing w:val="-6"/>
          <w:w w:val="100"/>
          <w:sz w:val="28"/>
          <w:vertAlign w:val="baseline"/>
          <w:lang w:val="en-US"/>
        </w:rPr>
        <w:t xml:space="preserve">stealth] [</w:t>
      </w:r>
      <w:r>
        <w:rPr>
          <w:rFonts w:ascii="Arial" w:hAnsi="Arial" w:eastAsia="Arial"/>
          <w:i w:val="true"/>
          <w:strike w:val="false"/>
          <w:color w:val="000000"/>
          <w:spacing w:val="-6"/>
          <w:w w:val="100"/>
          <w:sz w:val="28"/>
          <w:vertAlign w:val="baseline"/>
          <w:lang w:val="en-US"/>
        </w:rPr>
        <w:t xml:space="preserve">or </w:t>
      </w:r>
      <w:r>
        <w:rPr>
          <w:rFonts w:ascii="Arial" w:hAnsi="Arial" w:eastAsia="Arial"/>
          <w:strike w:val="false"/>
          <w:color w:val="000000"/>
          <w:spacing w:val="-6"/>
          <w:w w:val="100"/>
          <w:sz w:val="28"/>
          <w:vertAlign w:val="baseline"/>
          <w:lang w:val="en-US"/>
        </w:rPr>
        <w:t xml:space="preserve">deception] [</w:t>
      </w:r>
      <w:r>
        <w:rPr>
          <w:rFonts w:ascii="Arial" w:hAnsi="Arial" w:eastAsia="Arial"/>
          <w:i w:val="true"/>
          <w:strike w:val="false"/>
          <w:color w:val="000000"/>
          <w:spacing w:val="-6"/>
          <w:w w:val="100"/>
          <w:sz w:val="28"/>
          <w:vertAlign w:val="baseline"/>
          <w:lang w:val="en-US"/>
        </w:rPr>
        <w:t xml:space="preserve">or </w:t>
      </w:r>
      <w:r>
        <w:rPr>
          <w:rFonts w:ascii="Arial" w:hAnsi="Arial" w:eastAsia="Arial"/>
          <w:strike w:val="false"/>
          <w:color w:val="000000"/>
          <w:spacing w:val="-6"/>
          <w:w w:val="100"/>
          <w:sz w:val="28"/>
          <w:vertAlign w:val="baseline"/>
          <w:lang w:val="en-US"/>
        </w:rPr>
        <w:t xml:space="preserve">mechanical tampering] [</w:t>
      </w:r>
      <w:r>
        <w:rPr>
          <w:rFonts w:ascii="Arial" w:hAnsi="Arial" w:eastAsia="Arial"/>
          <w:i w:val="true"/>
          <w:strike w:val="false"/>
          <w:color w:val="000000"/>
          <w:spacing w:val="-6"/>
          <w:w w:val="100"/>
          <w:sz w:val="28"/>
          <w:vertAlign w:val="baseline"/>
          <w:lang w:val="en-US"/>
        </w:rPr>
        <w:t xml:space="preserve">or </w:t>
      </w:r>
      <w:r>
        <w:rPr>
          <w:rFonts w:ascii="Arial" w:hAnsi="Arial" w:eastAsia="Arial"/>
          <w:strike w:val="false"/>
          <w:color w:val="000000"/>
          <w:spacing w:val="-6"/>
          <w:w w:val="100"/>
          <w:sz w:val="28"/>
          <w:vertAlign w:val="baseline"/>
          <w:lang w:val="en-US"/>
        </w:rPr>
        <w:t xml:space="preserve">by unjustifiable</w:t>
      </w:r>
    </w:p>
    <w:p>
      <w:pPr>
        <w:pageBreakBefore w:val="false"/>
        <w:spacing w:before="318" w:after="0" w:line="259" w:lineRule="exact"/>
        <w:ind w:right="216" w:left="0" w:firstLine="360"/>
        <w:jc w:val="left"/>
        <w:textAlignment w:val="baseline"/>
        <w:rPr>
          <w:rFonts w:ascii="Arial" w:hAnsi="Arial" w:eastAsia="Arial"/>
          <w:strike w:val="false"/>
          <w:color w:val="000000"/>
          <w:spacing w:val="0"/>
          <w:w w:val="100"/>
          <w:sz w:val="17"/>
          <w:vertAlign w:val="superscript"/>
          <w:lang w:val="en-US"/>
        </w:rPr>
      </w:pPr>
      <w:r>
        <w:pict>
          <v:line strokeweight="1.2pt" strokecolor="#000000" from="108pt,599.3pt" to="252.05pt,599.3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strike w:val="false"/>
          <w:color w:val="000000"/>
          <w:spacing w:val="0"/>
          <w:w w:val="100"/>
          <w:sz w:val="23"/>
          <w:vertAlign w:val="baseline"/>
          <w:lang w:val="en-US"/>
        </w:rPr>
        <w:t xml:space="preserve">This statute envisions two different methods of committing the crime: one in which the defendant rides or attempts to ride without paying a fare required to be paid in advance, for example by jumping a subway turnstile; and one in which the defendant rides and then avoids or attempts to avoid paying a fare due at the end of the ride, for example by refusing to pay a taxi fare. This charge deals with the latter situation.</w:t>
      </w:r>
    </w:p>
    <w:p>
      <w:pPr>
        <w:pageBreakBefore w:val="false"/>
        <w:spacing w:before="283" w:after="0" w:line="259"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2</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15.05(1).</w:t>
      </w:r>
    </w:p>
    <w:p>
      <w:pPr>
        <w:sectPr>
          <w:type w:val="nextPage"/>
          <w:pgSz w:w="12240" w:h="15840" w:orient="portrait"/>
          <w:pgMar w:bottom="1004" w:top="1440" w:right="2120" w:left="2160" w:header="720" w:footer="720"/>
          <w:titlePg w:val="false"/>
          <w:textDirection w:val="lrTb"/>
        </w:sectPr>
      </w:pPr>
    </w:p>
    <w:p>
      <w:pPr>
        <w:pageBreakBefore w:val="false"/>
        <w:spacing w:before="1"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failure or refusal to pay] when he or she intends to do so and engages in conduct which tends to effect that objective.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3"/>
          <w:u w:val="single"/>
          <w:vertAlign w:val="baseline"/>
          <w:lang w:val="en-US"/>
        </w:rPr>
        <w:t xml:space="preserve"> (date)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i w:val="true"/>
          <w:strike w:val="false"/>
          <w:color w:val="000000"/>
          <w:spacing w:val="-4"/>
          <w:w w:val="100"/>
          <w:sz w:val="23"/>
          <w:u w:val="single"/>
          <w:vertAlign w:val="baseline"/>
          <w:lang w:val="en-US"/>
        </w:rPr>
        <w:t xml:space="preserve"> (county) </w:t>
      </w:r>
      <w:r>
        <w:rPr>
          <w:rFonts w:ascii="Arial" w:hAnsi="Arial" w:eastAsia="Arial"/>
          <w:strike w:val="false"/>
          <w:color w:val="000000"/>
          <w:spacing w:val="-4"/>
          <w:w w:val="100"/>
          <w:sz w:val="28"/>
          <w:vertAlign w:val="baseline"/>
          <w:lang w:val="en-US"/>
        </w:rPr>
        <w:t xml:space="preserve"> , the defendant, </w:t>
      </w:r>
      <w:r>
        <w:rPr>
          <w:rFonts w:ascii="Arial" w:hAnsi="Arial" w:eastAsia="Arial"/>
          <w:i w:val="true"/>
          <w:strike w:val="false"/>
          <w:color w:val="000000"/>
          <w:spacing w:val="-4"/>
          <w:w w:val="100"/>
          <w:sz w:val="23"/>
          <w:u w:val="single"/>
          <w:vertAlign w:val="baseline"/>
          <w:lang w:val="en-US"/>
        </w:rPr>
        <w:t xml:space="preserve"> (defendant's name) </w:t>
      </w:r>
      <w:r>
        <w:rPr>
          <w:rFonts w:ascii="Arial" w:hAnsi="Arial" w:eastAsia="Arial"/>
          <w:strike w:val="false"/>
          <w:color w:val="000000"/>
          <w:spacing w:val="-4"/>
          <w:w w:val="100"/>
          <w:sz w:val="28"/>
          <w:vertAlign w:val="baseline"/>
          <w:lang w:val="en-US"/>
        </w:rPr>
        <w:t xml:space="preserve"> , avoided [or attempted to avoid] payment for railroad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subway]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bus]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air]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taxi]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(any other) public transportation] service which had been rendered to him;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avoid payment of the lawful charge for such transportation service.</w:t>
      </w:r>
    </w:p>
    <w:p>
      <w:pPr>
        <w:pageBreakBefore w:val="false"/>
        <w:spacing w:before="64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3750" w:line="321"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3750" w:line="321" w:lineRule="exact"/>
        <w:sectPr>
          <w:type w:val="nextPage"/>
          <w:pgSz w:w="12240" w:h="15840" w:orient="portrait"/>
          <w:pgMar w:bottom="1024" w:top="1440" w:right="2125" w:left="2155" w:header="720" w:footer="720"/>
          <w:titlePg w:val="false"/>
          <w:textDirection w:val="lrTb"/>
        </w:sectPr>
      </w:pPr>
    </w:p>
    <w:p>
      <w:pPr>
        <w:pageBreakBefore w:val="false"/>
        <w:spacing w:before="273" w:after="0" w:line="294" w:lineRule="exact"/>
        <w:ind w:right="0" w:left="0" w:firstLine="0"/>
        <w:jc w:val="right"/>
        <w:textAlignment w:val="baseline"/>
        <w:rPr>
          <w:rFonts w:ascii="Arial" w:hAnsi="Arial" w:eastAsia="Arial"/>
          <w:strike w:val="false"/>
          <w:color w:val="000000"/>
          <w:spacing w:val="-2"/>
          <w:w w:val="100"/>
          <w:sz w:val="17"/>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txbxContent>
            </v:textbox>
          </v:shape>
        </w:pict>
      </w:r>
      <w:r>
        <w:pict>
          <v:line strokeweight="1.2pt" strokecolor="#000000" from="107.75pt,665.5pt" to="252.05pt,665.5pt" style="position:absolute;mso-position-horizontal-relative:page;mso-position-vertical-relative:page;">
            <v:stroke dashstyle="solid"/>
          </v:line>
        </w:pict>
      </w:r>
      <w:r>
        <w:rPr>
          <w:rFonts w:ascii="Arial" w:hAnsi="Arial" w:eastAsia="Arial"/>
          <w:strike w:val="false"/>
          <w:color w:val="000000"/>
          <w:spacing w:val="-2"/>
          <w:w w:val="100"/>
          <w:sz w:val="17"/>
          <w:vertAlign w:val="superscript"/>
          <w:lang w:val="en-US"/>
        </w:rPr>
        <w:t xml:space="preserve">3</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110.00.</w:t>
      </w:r>
    </w:p>
    <w:sectPr>
      <w:type w:val="continuous"/>
      <w:pgSz w:w="12240" w:h="15840" w:orient="portrait"/>
      <w:pgMar w:bottom="1024" w:top="1440" w:right="7080"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