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3"/>
          <w:w w:val="100"/>
          <w:sz w:val="28"/>
          <w:vertAlign w:val="baseline"/>
          <w:lang w:val="en-US"/>
        </w:rPr>
      </w:pPr>
      <w:r>
        <w:rPr>
          <w:rFonts w:ascii="Arial" w:hAnsi="Arial" w:eastAsia="Arial"/>
          <w:b w:val="true"/>
          <w:color w:val="000000"/>
          <w:spacing w:val="3"/>
          <w:w w:val="100"/>
          <w:sz w:val="28"/>
          <w:vertAlign w:val="baseline"/>
          <w:lang w:val="en-US"/>
        </w:rPr>
        <w:t xml:space="preserve">CEMETERY DESECRATION IN THE FIRST DEGREE</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145.23(a)</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November 1, 1997)</w:t>
      </w:r>
    </w:p>
    <w:p>
      <w:pPr>
        <w:pageBreakBefore w:val="false"/>
        <w:spacing w:before="652"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Cemetery Desecration in the First Degree.</w:t>
      </w:r>
    </w:p>
    <w:p>
      <w:pPr>
        <w:pageBreakBefore w:val="false"/>
        <w:spacing w:before="324" w:after="0"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a person is guilty of cemetery desecration in the first degree when with intent to damage property of another person, and having no right to do so nor any reasonable ground to believe that he has such right, he or she damages any real or personal property maintained as a cemetery plot, grave, burial place or other place of interment of human remains in an amount exceeding two hundred fifty dollars; or</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33"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a conscious objective or purpose. Thus, a person acts with intent to damage property of another person when his or her conscious objective or purpose is to do so.</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42" w:after="0" w:line="31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amount of damage to property is determined by the cost of repair or the replacement of the property, whichever is less.</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8"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tabs>
          <w:tab w:val="right" w:leader="none" w:pos="7920"/>
        </w:tabs>
        <w:spacing w:before="325" w:after="393" w:line="318"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w:t>
      </w:r>
    </w:p>
    <w:p>
      <w:pPr>
        <w:pageBreakBefore w:val="false"/>
        <w:spacing w:before="534" w:after="0" w:line="278" w:lineRule="exact"/>
        <w:ind w:right="0" w:left="0" w:firstLine="0"/>
        <w:jc w:val="left"/>
        <w:textAlignment w:val="baseline"/>
        <w:rPr>
          <w:rFonts w:ascii="Arial" w:hAnsi="Arial" w:eastAsia="Arial"/>
          <w:color w:val="000000"/>
          <w:spacing w:val="-1"/>
          <w:w w:val="100"/>
          <w:sz w:val="14"/>
          <w:vertAlign w:val="superscript"/>
          <w:lang w:val="en-US"/>
        </w:rPr>
      </w:pPr>
      <w:r>
        <w:pict>
          <v:line strokeweight="0.95pt" strokecolor="#000000" from="108pt,612.5pt" to="252.05pt,612.5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1</w:t>
      </w:r>
      <w:r>
        <w:rPr>
          <w:rFonts w:ascii="Arial" w:hAnsi="Arial" w:eastAsia="Arial"/>
          <w:i w:val="true"/>
          <w:color w:val="000000"/>
          <w:spacing w:val="-1"/>
          <w:w w:val="100"/>
          <w:sz w:val="24"/>
          <w:vertAlign w:val="baseline"/>
          <w:lang w:val="en-US"/>
        </w:rPr>
        <w:t xml:space="preserve"> See</w:t>
      </w:r>
      <w:r>
        <w:rPr>
          <w:rFonts w:ascii="Arial" w:hAnsi="Arial" w:eastAsia="Arial"/>
          <w:color w:val="000000"/>
          <w:spacing w:val="-1"/>
          <w:w w:val="100"/>
          <w:sz w:val="24"/>
          <w:vertAlign w:val="baseline"/>
          <w:lang w:val="en-US"/>
        </w:rPr>
        <w:t xml:space="preserve">, Penal Law § 15.05(1).</w:t>
      </w:r>
    </w:p>
    <w:p>
      <w:pPr>
        <w:pageBreakBefore w:val="false"/>
        <w:spacing w:before="237" w:after="0" w:line="278"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See</w:t>
      </w:r>
      <w:r>
        <w:rPr>
          <w:rFonts w:ascii="Arial" w:hAnsi="Arial" w:eastAsia="Arial"/>
          <w:color w:val="000000"/>
          <w:spacing w:val="0"/>
          <w:w w:val="100"/>
          <w:sz w:val="24"/>
          <w:vertAlign w:val="baseline"/>
          <w:lang w:val="en-US"/>
        </w:rPr>
        <w:t xml:space="preserve">, </w:t>
      </w:r>
      <w:r>
        <w:rPr>
          <w:rFonts w:ascii="Arial" w:hAnsi="Arial" w:eastAsia="Arial"/>
          <w:i w:val="true"/>
          <w:color w:val="000000"/>
          <w:spacing w:val="0"/>
          <w:w w:val="100"/>
          <w:sz w:val="24"/>
          <w:vertAlign w:val="baseline"/>
          <w:lang w:val="en-US"/>
        </w:rPr>
        <w:t xml:space="preserve">People v Woodard</w:t>
      </w:r>
      <w:r>
        <w:rPr>
          <w:rFonts w:ascii="Arial" w:hAnsi="Arial" w:eastAsia="Arial"/>
          <w:color w:val="000000"/>
          <w:spacing w:val="0"/>
          <w:w w:val="100"/>
          <w:sz w:val="24"/>
          <w:vertAlign w:val="baseline"/>
          <w:lang w:val="en-US"/>
        </w:rPr>
        <w:t xml:space="preserve">, 148 AD2d 997, (4th Dept. 1989); </w:t>
      </w:r>
      <w:r>
        <w:rPr>
          <w:rFonts w:ascii="Arial" w:hAnsi="Arial" w:eastAsia="Arial"/>
          <w:i w:val="true"/>
          <w:color w:val="000000"/>
          <w:spacing w:val="0"/>
          <w:w w:val="100"/>
          <w:sz w:val="24"/>
          <w:vertAlign w:val="baseline"/>
          <w:lang w:val="en-US"/>
        </w:rPr>
        <w:t xml:space="preserve">People v Gina</w:t>
      </w:r>
      <w:r>
        <w:rPr>
          <w:rFonts w:ascii="Arial" w:hAnsi="Arial" w:eastAsia="Arial"/>
          <w:color w:val="000000"/>
          <w:spacing w:val="0"/>
          <w:w w:val="100"/>
          <w:sz w:val="24"/>
          <w:vertAlign w:val="baseline"/>
          <w:lang w:val="en-US"/>
        </w:rPr>
        <w:t xml:space="preserve">, 137 AD2d 555, (2d Dept. 19</w:t>
      </w:r>
      <w:r>
        <w:rPr>
          <w:rFonts w:ascii="Arial" w:hAnsi="Arial" w:eastAsia="Arial"/>
          <w:i w:val="true"/>
          <w:color w:val="000000"/>
          <w:spacing w:val="0"/>
          <w:w w:val="100"/>
          <w:sz w:val="24"/>
          <w:vertAlign w:val="baseline"/>
          <w:lang w:val="en-US"/>
        </w:rPr>
        <w:t xml:space="preserve">88); People v Simpson</w:t>
      </w:r>
      <w:r>
        <w:rPr>
          <w:rFonts w:ascii="Arial" w:hAnsi="Arial" w:eastAsia="Arial"/>
          <w:color w:val="000000"/>
          <w:spacing w:val="0"/>
          <w:w w:val="100"/>
          <w:sz w:val="24"/>
          <w:vertAlign w:val="baseline"/>
          <w:lang w:val="en-US"/>
        </w:rPr>
        <w:t xml:space="preserve">, 132 AD 2d 894 (3d Dept. 1987).</w:t>
      </w:r>
    </w:p>
    <w:p>
      <w:pPr>
        <w:sectPr>
          <w:type w:val="nextPage"/>
          <w:pgSz w:w="12240" w:h="15840" w:orient="portrait"/>
          <w:pgMar w:bottom="1304" w:top="1440" w:right="2140" w:left="2160" w:header="720" w:footer="720"/>
          <w:titlePg w:val="false"/>
          <w:textDirection w:val="lrTb"/>
        </w:sectPr>
      </w:pPr>
    </w:p>
    <w:p>
      <w:pPr>
        <w:pageBreakBefore w:val="false"/>
        <w:spacing w:before="1"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damaged real or personal property, maintained as a cemetery plot, grave, burial place or other place of interment of human remains, in an amount exceeding two hundred fifty dollars;</w:t>
      </w:r>
    </w:p>
    <w:p>
      <w:pPr>
        <w:pageBreakBefore w:val="false"/>
        <w:numPr>
          <w:ilvl w:val="0"/>
          <w:numId w:val="1"/>
        </w:numPr>
        <w:tabs>
          <w:tab w:val="clear" w:pos="720"/>
          <w:tab w:val="left" w:pos="1440"/>
        </w:tabs>
        <w:spacing w:before="326"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damage property of another person;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had no right to cause such damage nor any reasonable ground to believe he/she had such right.</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6188"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6188" w:line="324" w:lineRule="exact"/>
        <w:sectPr>
          <w:type w:val="nextPage"/>
          <w:pgSz w:w="12240" w:h="15840" w:orient="portrait"/>
          <w:pgMar w:bottom="1024" w:top="1440" w:right="2138" w:left="2162"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