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MISCHIEF IN THE FOURTH DEGREE</w:t>
        <w:br/>
      </w:r>
      <w:r>
        <w:rPr>
          <w:rFonts w:ascii="Arial" w:hAnsi="Arial" w:eastAsia="Arial"/>
          <w:b w:val="true"/>
          <w:color w:val="000000"/>
          <w:spacing w:val="0"/>
          <w:w w:val="100"/>
          <w:sz w:val="28"/>
          <w:vertAlign w:val="baseline"/>
          <w:lang w:val="en-US"/>
        </w:rPr>
        <w:t xml:space="preserve">(Disabling Equipment to Prevent</w:t>
        <w:br/>
      </w:r>
      <w:r>
        <w:rPr>
          <w:rFonts w:ascii="Arial" w:hAnsi="Arial" w:eastAsia="Arial"/>
          <w:b w:val="true"/>
          <w:color w:val="000000"/>
          <w:spacing w:val="0"/>
          <w:w w:val="100"/>
          <w:sz w:val="28"/>
          <w:vertAlign w:val="baseline"/>
          <w:lang w:val="en-US"/>
        </w:rPr>
        <w:t xml:space="preserve">Request for Emergency Assistance)</w:t>
        <w:br/>
      </w:r>
      <w:r>
        <w:rPr>
          <w:rFonts w:ascii="Arial" w:hAnsi="Arial" w:eastAsia="Arial"/>
          <w:b w:val="true"/>
          <w:color w:val="000000"/>
          <w:spacing w:val="0"/>
          <w:w w:val="100"/>
          <w:sz w:val="28"/>
          <w:vertAlign w:val="baseline"/>
          <w:lang w:val="en-US"/>
        </w:rPr>
        <w:t xml:space="preserve">Penal Law § 145.00(4)</w:t>
        <w:br/>
      </w:r>
      <w:r>
        <w:rPr>
          <w:rFonts w:ascii="Arial" w:hAnsi="Arial" w:eastAsia="Arial"/>
          <w:b w:val="true"/>
          <w:color w:val="000000"/>
          <w:spacing w:val="0"/>
          <w:w w:val="100"/>
          <w:sz w:val="28"/>
          <w:vertAlign w:val="baseline"/>
          <w:lang w:val="en-US"/>
        </w:rPr>
        <w:t xml:space="preserve">(Committed on or after July 6, 2008)</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Mischief in the Fourth Degree.</w:t>
      </w:r>
    </w:p>
    <w:p>
      <w:pPr>
        <w:pageBreakBefore w:val="false"/>
        <w:spacing w:before="31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defendant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is guilty of Criminal Mischief in the Fourth Degree when, having no right to do so nor any reasonable ground to believe that he or she has such right, he or she with intent to prevent a person from communicating a request for emergency assistance intentionally disables or removes telephonic, TTY or similar communication sending equipment while that person is attempting to seek or is engaged in the process of seeking emergency assistance:</w:t>
      </w:r>
    </w:p>
    <w:p>
      <w:pPr>
        <w:pageBreakBefore w:val="false"/>
        <w:spacing w:before="329" w:after="0" w:line="318"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from police, law enforcement, fire or emergency medical services personnel;</w:t>
      </w:r>
    </w:p>
    <w:p>
      <w:pPr>
        <w:pageBreakBefore w:val="false"/>
        <w:spacing w:before="32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from another person or entity in order to protect himself, herself or a third person from imminent physical injury.</w:t>
      </w:r>
    </w:p>
    <w:p>
      <w:pPr>
        <w:pageBreakBefore w:val="false"/>
        <w:spacing w:before="334" w:after="0" w:line="316"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19"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fact that the defendant has an ownership interest in</w:t>
      </w:r>
    </w:p>
    <w:p>
      <w:pPr>
        <w:pageBreakBefore w:val="false"/>
        <w:spacing w:before="0" w:after="0" w:line="322"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such equipment is not a defense.</w:t>
      </w:r>
      <w:r>
        <w:rPr>
          <w:rFonts w:ascii="Arial" w:hAnsi="Arial" w:eastAsia="Arial"/>
          <w:color w:val="000000"/>
          <w:spacing w:val="-1"/>
          <w:w w:val="100"/>
          <w:sz w:val="28"/>
          <w:vertAlign w:val="superscript"/>
          <w:lang w:val="en-US"/>
        </w:rPr>
        <w:t xml:space="preserve">2</w:t>
      </w:r>
      <w:r>
        <w:rPr>
          <w:rFonts w:ascii="Arial" w:hAnsi="Arial" w:eastAsia="Arial"/>
          <w:color w:val="000000"/>
          <w:spacing w:val="-1"/>
          <w:w w:val="100"/>
          <w:sz w:val="28"/>
          <w:vertAlign w:val="baseline"/>
          <w:lang w:val="en-US"/>
        </w:rPr>
        <w:t xml:space="preserve">]</w:t>
      </w:r>
    </w:p>
    <w:p>
      <w:pPr>
        <w:pageBreakBefore w:val="false"/>
        <w:spacing w:before="324" w:after="657"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256" w:after="0" w:line="281" w:lineRule="exact"/>
        <w:ind w:right="1152" w:left="0" w:firstLine="72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8pt,625.9pt" to="252.05pt,625.9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statutory text uses the word “person,” but the word “defendant” is substituted here for clarity.</w:t>
      </w:r>
    </w:p>
    <w:p>
      <w:pPr>
        <w:pageBreakBefore w:val="false"/>
        <w:spacing w:before="237" w:after="0" w:line="281" w:lineRule="exact"/>
        <w:ind w:right="144" w:left="0" w:firstLine="720"/>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statute reads: “The fact that the defendant has an ownership interest in such equipment shall not be a defense to a charge pursuant to this subdivision.” The language here is amended for clarity.</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disables or removes telephonic, TTY or similar communication sending equipment when that person’s conscious objective or purpose is to disable or remove such equipment.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Further, a person does so WITH INTENT to prevent another from communicating a request for emergency assistance when the person’s conscious objective or purpose is to prevent that other person from communicating a request for emergency assistance.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6"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16"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intentionally disabled or removed telephonic, TTY or similar communication sending equipment while another person was attempting to seek or was engaged in the process of seeking emergency assistance:</w:t>
      </w:r>
    </w:p>
    <w:p>
      <w:pPr>
        <w:pageBreakBefore w:val="false"/>
        <w:spacing w:before="332" w:after="0" w:line="321"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14"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[from police, law enforcement, fire or emergency medical services personnel;]</w:t>
      </w:r>
    </w:p>
    <w:p>
      <w:pPr>
        <w:pageBreakBefore w:val="false"/>
        <w:spacing w:before="32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[from another person or entity in order to protect himself, herself or a third person from imminent physical injury];</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did so with intent to prevent that person from communicating a request for emergency assistance; and</w:t>
      </w:r>
    </w:p>
    <w:p>
      <w:pPr>
        <w:pageBreakBefore w:val="false"/>
        <w:numPr>
          <w:ilvl w:val="0"/>
          <w:numId w:val="1"/>
        </w:numPr>
        <w:tabs>
          <w:tab w:val="clear" w:pos="720"/>
          <w:tab w:val="left" w:pos="1440"/>
        </w:tabs>
        <w:spacing w:before="321" w:after="266"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that he/she had such right.</w:t>
      </w:r>
    </w:p>
    <w:p>
      <w:pPr>
        <w:pageBreakBefore w:val="false"/>
        <w:spacing w:before="256" w:after="0" w:line="276" w:lineRule="exact"/>
        <w:ind w:right="0" w:left="72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7.85pt,685.7pt" to="252.05pt,685.7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28" w:after="0" w:line="274" w:lineRule="exact"/>
        <w:ind w:right="0" w:left="720" w:firstLine="0"/>
        <w:jc w:val="left"/>
        <w:textAlignment w:val="baseline"/>
        <w:rPr>
          <w:rFonts w:ascii="Times New Roman" w:hAnsi="Times New Roman" w:eastAsia="Times New Roman"/>
          <w:color w:val="000000"/>
          <w:spacing w:val="-3"/>
          <w:w w:val="100"/>
          <w:sz w:val="14"/>
          <w:vertAlign w:val="superscript"/>
          <w:lang w:val="en-US"/>
        </w:rPr>
      </w:pPr>
      <w:r>
        <w:rPr>
          <w:rFonts w:ascii="Times New Roman" w:hAnsi="Times New Roman" w:eastAsia="Times New Roman"/>
          <w:color w:val="000000"/>
          <w:spacing w:val="-3"/>
          <w:w w:val="100"/>
          <w:sz w:val="14"/>
          <w:vertAlign w:val="superscript"/>
          <w:lang w:val="en-US"/>
        </w:rPr>
        <w:t xml:space="preserve">4</w:t>
      </w:r>
      <w:r>
        <w:rPr>
          <w:rFonts w:ascii="Arial" w:hAnsi="Arial" w:eastAsia="Arial"/>
          <w:i w:val="true"/>
          <w:color w:val="000000"/>
          <w:spacing w:val="-3"/>
          <w:w w:val="100"/>
          <w:sz w:val="24"/>
          <w:vertAlign w:val="baseline"/>
          <w:lang w:val="en-US"/>
        </w:rPr>
        <w:t xml:space="preserve"> Id.</w:t>
      </w:r>
    </w:p>
    <w:p>
      <w:pPr>
        <w:sectPr>
          <w:type w:val="nextPage"/>
          <w:pgSz w:w="12240" w:h="15840" w:orient="portrait"/>
          <w:pgMar w:bottom="684" w:top="1440" w:right="2143" w:left="2157"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17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