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322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PREDATORY SEXUAL ASSAULT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130.95 (1) (b)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23, 2006)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(Revised June, 2013)</w:t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469" w:after="0" w:line="321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Predatory Sexual Assault.</w:t>
      </w:r>
    </w:p>
    <w:p>
      <w:pPr>
        <w:pageBreakBefore w:val="false"/>
        <w:spacing w:before="326" w:after="0" w:line="31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Predatory Sexual Assault when he or she commits the crime of</w:t>
      </w:r>
    </w:p>
    <w:p>
      <w:pPr>
        <w:pageBreakBefore w:val="false"/>
        <w:spacing w:before="327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4" w:after="0" w:line="321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Rape in the first degree</w:t>
      </w:r>
    </w:p>
    <w:p>
      <w:pPr>
        <w:pageBreakBefore w:val="false"/>
        <w:spacing w:before="0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Criminal sexual act in the first degree</w:t>
      </w:r>
    </w:p>
    <w:p>
      <w:pPr>
        <w:pageBreakBefore w:val="false"/>
        <w:spacing w:before="0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Aggravated sexual abuse in the first degree</w:t>
      </w:r>
    </w:p>
    <w:p>
      <w:pPr>
        <w:pageBreakBefore w:val="false"/>
        <w:spacing w:before="6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Course of sexual conduct against a child in the first</w:t>
      </w:r>
    </w:p>
    <w:p>
      <w:pPr>
        <w:pageBreakBefore w:val="false"/>
        <w:spacing w:before="0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degree,</w:t>
      </w:r>
    </w:p>
    <w:p>
      <w:pPr>
        <w:pageBreakBefore w:val="false"/>
        <w:spacing w:before="324" w:after="0" w:line="321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in the course of the commission of the crime or the immediate flight therefrom, he or she uses or threatens the immediate use of a dangerous instrument.</w:t>
      </w:r>
    </w:p>
    <w:p>
      <w:pPr>
        <w:pageBreakBefore w:val="false"/>
        <w:spacing w:before="317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3" w:after="0" w:line="31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is guilty of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name of crime) when (specify definition of crime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u w:val="single"/>
          <w:vertAlign w:val="baseline"/>
          <w:lang w:val="en-US"/>
        </w:rPr>
        <w:t xml:space="preserve">
</w:t>
      </w:r>
    </w:p>
    <w:p>
      <w:pPr>
        <w:pageBreakBefore w:val="false"/>
        <w:spacing w:before="323" w:after="357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DANGEROUS INSTRUMENT means any instrument, article or substance (including a vehicle) which, under the</w:t>
      </w:r>
    </w:p>
    <w:p>
      <w:pPr>
        <w:pageBreakBefore w:val="false"/>
        <w:spacing w:before="87" w:after="0" w:line="27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14"/>
          <w:vertAlign w:val="superscript"/>
          <w:lang w:val="en-US"/>
        </w:rPr>
      </w:pPr>
      <w:r>
        <w:pict>
          <v:line strokeweight="0.7pt" strokecolor="#000000" from="107.75pt,564.25pt" to="252.05pt,564.2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3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  <w:t xml:space="preserve"> The revision was for the purpose of updating the elements to accord with decisional law. That law requires that where the defendant “threatens” the immediate use of a dangerous instrument, the People must prove that the defendant possessed that dangerous instrument at the time of the crime. </w:t>
      </w:r>
      <w:r>
        <w:rPr>
          <w:rFonts w:ascii="Arial" w:hAnsi="Arial" w:eastAsia="Arial"/>
          <w:i w:val="true"/>
          <w:color w:val="000000"/>
          <w:spacing w:val="-3"/>
          <w:w w:val="100"/>
          <w:sz w:val="24"/>
          <w:vertAlign w:val="baseline"/>
          <w:lang w:val="en-US"/>
        </w:rPr>
        <w:t xml:space="preserve">See People v Grant</w:t>
      </w:r>
      <w:r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  <w:t xml:space="preserve">, 17 NY3d 613, 617-618 (2011); </w:t>
      </w:r>
      <w:r>
        <w:rPr>
          <w:rFonts w:ascii="Arial" w:hAnsi="Arial" w:eastAsia="Arial"/>
          <w:i w:val="true"/>
          <w:color w:val="000000"/>
          <w:spacing w:val="-3"/>
          <w:w w:val="100"/>
          <w:sz w:val="24"/>
          <w:vertAlign w:val="baseline"/>
          <w:lang w:val="en-US"/>
        </w:rPr>
        <w:t xml:space="preserve">People v Ford</w:t>
      </w:r>
      <w:r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  <w:t xml:space="preserve">, 11 NY3d 875, 878 (2008); </w:t>
      </w:r>
      <w:r>
        <w:rPr>
          <w:rFonts w:ascii="Arial" w:hAnsi="Arial" w:eastAsia="Arial"/>
          <w:i w:val="true"/>
          <w:color w:val="000000"/>
          <w:spacing w:val="-3"/>
          <w:w w:val="100"/>
          <w:sz w:val="24"/>
          <w:vertAlign w:val="baseline"/>
          <w:lang w:val="en-US"/>
        </w:rPr>
        <w:t xml:space="preserve">People v Pena</w:t>
      </w:r>
      <w:r>
        <w:rPr>
          <w:rFonts w:ascii="Arial" w:hAnsi="Arial" w:eastAsia="Arial"/>
          <w:color w:val="000000"/>
          <w:spacing w:val="-3"/>
          <w:w w:val="100"/>
          <w:sz w:val="24"/>
          <w:vertAlign w:val="baseline"/>
          <w:lang w:val="en-US"/>
        </w:rPr>
        <w:t xml:space="preserve">, 50 NY2d 400, 407 (1980).</w:t>
      </w:r>
    </w:p>
    <w:p>
      <w:pPr>
        <w:pageBreakBefore w:val="false"/>
        <w:spacing w:before="271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With respect to defining the underlying crime, if the underlying crime is a separate count within the indictment, reference to the crime or count is sufficient.</w:t>
      </w:r>
    </w:p>
    <w:p>
      <w:pPr>
        <w:sectPr>
          <w:type w:val="nextPage"/>
          <w:pgSz w:w="12240" w:h="15840" w:orient="portrait"/>
          <w:pgMar w:bottom="130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5" w:after="0" w:line="321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circumstances in which it is used, attempted to be used, or threatened to be used, is readily capable of causing death or other serious physical injury,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that is, serious and protracted disfigurement, protracted impairment of health or protracted loss or impairment of the function of any bodily organ.</w:t>
      </w:r>
    </w:p>
    <w:p>
      <w:pPr>
        <w:pageBreakBefore w:val="false"/>
        <w:spacing w:before="328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defendant's name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committed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name of underlying crime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9" w:after="0" w:line="320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That, in the course of and in furtherance of the commission of such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name of underlying crime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immediate flight therefrom], the defendant possessed a dangerous instrument and used or threatened the immediate use of that dangerous instrument.</w:t>
      </w:r>
    </w:p>
    <w:p>
      <w:pPr>
        <w:pageBreakBefore w:val="false"/>
        <w:spacing w:before="31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2791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pageBreakBefore w:val="false"/>
        <w:spacing w:before="96" w:after="247" w:line="275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7pt" strokecolor="#000000" from="107.8pt,678.7pt" to="252.05pt,678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 (13).</w:t>
      </w:r>
    </w:p>
    <w:p>
      <w:pPr>
        <w:pageBreakBefore w:val="false"/>
        <w:spacing w:before="0" w:after="0" w:line="21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en-US"/>
        </w:rPr>
        <w:t xml:space="preserve">2</w:t>
      </w:r>
    </w:p>
    <w:sectPr>
      <w:type w:val="nextPage"/>
      <w:pgSz w:w="12240" w:h="15840" w:orient="portrait"/>
      <w:pgMar w:bottom="1024" w:top="1440" w:right="2126" w:left="2156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