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7"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SEXUALLY MOTIVATED FELONY</w:t>
        <w:br/>
      </w:r>
      <w:r>
        <w:rPr>
          <w:rFonts w:ascii="Arial" w:hAnsi="Arial" w:eastAsia="Arial"/>
          <w:b w:val="true"/>
          <w:color w:val="000000"/>
          <w:spacing w:val="0"/>
          <w:w w:val="100"/>
          <w:sz w:val="28"/>
          <w:vertAlign w:val="baseline"/>
          <w:lang w:val="en-US"/>
        </w:rPr>
        <w:t xml:space="preserve">Penal Law § 130.91(1)</w:t>
      </w:r>
    </w:p>
    <w:p>
      <w:pPr>
        <w:pageBreakBefore w:val="false"/>
        <w:spacing w:before="0"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(Committed on or after April 14, 2007)</w:t>
      </w:r>
    </w:p>
    <w:p>
      <w:pPr>
        <w:pageBreakBefore w:val="false"/>
        <w:spacing w:before="328" w:after="0" w:line="320"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 count is Sexually Motivated Felony.</w:t>
      </w:r>
    </w:p>
    <w:p>
      <w:pPr>
        <w:pageBreakBefore w:val="false"/>
        <w:spacing w:before="319" w:after="0" w:line="325" w:lineRule="exact"/>
        <w:ind w:right="72"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is guilty of Sexually Motivated Felony when he or she commits (</w:t>
      </w:r>
      <w:r>
        <w:rPr>
          <w:rFonts w:ascii="Arial" w:hAnsi="Arial" w:eastAsia="Arial"/>
          <w:i w:val="true"/>
          <w:color w:val="000000"/>
          <w:spacing w:val="0"/>
          <w:w w:val="100"/>
          <w:sz w:val="28"/>
          <w:u w:val="single"/>
          <w:vertAlign w:val="baseline"/>
          <w:lang w:val="en-US"/>
        </w:rPr>
        <w:t xml:space="preserve">name specifed offense</w:t>
      </w:r>
      <w:r>
        <w:rPr>
          <w:rFonts w:ascii="Arial" w:hAnsi="Arial" w:eastAsia="Arial"/>
          <w:i w:val="true"/>
          <w:color w:val="000000"/>
          <w:spacing w:val="0"/>
          <w:w w:val="100"/>
          <w:sz w:val="28"/>
          <w:vertAlign w:val="superscript"/>
          <w:lang w:val="en-US"/>
        </w:rPr>
        <w:t xml:space="preserve">1</w:t>
      </w:r>
      <w:r>
        <w:rPr>
          <w:rFonts w:ascii="Arial" w:hAnsi="Arial" w:eastAsia="Arial"/>
          <w:color w:val="000000"/>
          <w:spacing w:val="0"/>
          <w:w w:val="100"/>
          <w:sz w:val="28"/>
          <w:u w:val="single"/>
          <w:vertAlign w:val="baseline"/>
          <w:lang w:val="en-US"/>
        </w:rPr>
        <w:t xml:space="preserve">)</w:t>
      </w:r>
      <w:r>
        <w:rPr>
          <w:rFonts w:ascii="Arial" w:hAnsi="Arial" w:eastAsia="Arial"/>
          <w:color w:val="000000"/>
          <w:spacing w:val="0"/>
          <w:w w:val="100"/>
          <w:sz w:val="28"/>
          <w:vertAlign w:val="baseline"/>
          <w:lang w:val="en-US"/>
        </w:rPr>
        <w:t xml:space="preserve"> for the purpose</w:t>
      </w:r>
      <w:r>
        <w:rPr>
          <w:rFonts w:ascii="Arial" w:hAnsi="Arial" w:eastAsia="Arial"/>
          <w:color w:val="000000"/>
          <w:spacing w:val="0"/>
          <w:w w:val="100"/>
          <w:sz w:val="28"/>
          <w:vertAlign w:val="superscript"/>
          <w:lang w:val="en-US"/>
        </w:rPr>
        <w:t xml:space="preserve">2</w:t>
      </w:r>
      <w:r>
        <w:rPr>
          <w:rFonts w:ascii="Arial" w:hAnsi="Arial" w:eastAsia="Arial"/>
          <w:color w:val="000000"/>
          <w:spacing w:val="0"/>
          <w:w w:val="100"/>
          <w:sz w:val="28"/>
          <w:vertAlign w:val="baseline"/>
          <w:lang w:val="en-US"/>
        </w:rPr>
        <w:t xml:space="preserve">, in whole or substantial part, of his or her own direct sexual gratification.</w:t>
      </w:r>
    </w:p>
    <w:p>
      <w:pPr>
        <w:pageBreakBefore w:val="false"/>
        <w:spacing w:before="321" w:after="0" w:line="326" w:lineRule="exact"/>
        <w:ind w:right="72"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commits the offense of </w:t>
      </w:r>
      <w:r>
        <w:rPr>
          <w:rFonts w:ascii="Arial" w:hAnsi="Arial" w:eastAsia="Arial"/>
          <w:i w:val="true"/>
          <w:color w:val="000000"/>
          <w:spacing w:val="0"/>
          <w:w w:val="100"/>
          <w:sz w:val="28"/>
          <w:u w:val="single"/>
          <w:vertAlign w:val="baseline"/>
          <w:lang w:val="en-US"/>
        </w:rPr>
        <w:t xml:space="preserve">(name specified offense)</w:t>
      </w:r>
      <w:r>
        <w:rPr>
          <w:rFonts w:ascii="Arial" w:hAnsi="Arial" w:eastAsia="Arial"/>
          <w:color w:val="000000"/>
          <w:spacing w:val="0"/>
          <w:w w:val="100"/>
          <w:sz w:val="28"/>
          <w:vertAlign w:val="baseline"/>
          <w:lang w:val="en-US"/>
        </w:rPr>
        <w:t xml:space="preserve"> when:</w:t>
      </w:r>
    </w:p>
    <w:p>
      <w:pPr>
        <w:pageBreakBefore w:val="false"/>
        <w:spacing w:before="324" w:after="0" w:line="323" w:lineRule="exact"/>
        <w:ind w:right="0" w:left="0" w:firstLine="72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Here, cross-reference to the applicable definition in a previously explained count, or now read statutory definition of applicable offense and any defined terms and applicable charges as set forth in CJI2d for that offense.</w:t>
      </w:r>
      <w:r>
        <w:rPr>
          <w:rFonts w:ascii="Arial" w:hAnsi="Arial" w:eastAsia="Arial"/>
          <w:color w:val="000000"/>
          <w:spacing w:val="0"/>
          <w:w w:val="100"/>
          <w:sz w:val="28"/>
          <w:vertAlign w:val="baseline"/>
          <w:lang w:val="en-US"/>
        </w:rPr>
        <w:t xml:space="preserve">]</w:t>
      </w:r>
    </w:p>
    <w:p>
      <w:pPr>
        <w:pageBreakBefore w:val="false"/>
        <w:spacing w:before="316" w:after="0" w:line="326" w:lineRule="exact"/>
        <w:ind w:right="72"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In order for you to find the defendant guilty of this crime, the People are required to prove, from all the evidence in this case, beyond a reasonable doubt, both of the following two elements:</w:t>
      </w:r>
    </w:p>
    <w:p>
      <w:pPr>
        <w:pageBreakBefore w:val="false"/>
        <w:numPr>
          <w:ilvl w:val="0"/>
          <w:numId w:val="1"/>
        </w:numPr>
        <w:tabs>
          <w:tab w:val="clear" w:pos="720"/>
          <w:tab w:val="left" w:pos="1440"/>
        </w:tabs>
        <w:spacing w:before="331" w:after="0" w:line="323" w:lineRule="exact"/>
        <w:ind w:right="72"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on or about </w:t>
      </w:r>
      <w:r>
        <w:rPr>
          <w:rFonts w:ascii="Arial" w:hAnsi="Arial" w:eastAsia="Arial"/>
          <w:i w:val="true"/>
          <w:color w:val="000000"/>
          <w:spacing w:val="0"/>
          <w:w w:val="100"/>
          <w:sz w:val="28"/>
          <w:u w:val="single"/>
          <w:vertAlign w:val="baseline"/>
          <w:lang w:val="en-US"/>
        </w:rPr>
        <w:t xml:space="preserve"> (date) </w:t>
      </w:r>
      <w:r>
        <w:rPr>
          <w:rFonts w:ascii="Arial" w:hAnsi="Arial" w:eastAsia="Arial"/>
          <w:color w:val="000000"/>
          <w:spacing w:val="0"/>
          <w:w w:val="100"/>
          <w:sz w:val="28"/>
          <w:vertAlign w:val="baseline"/>
          <w:lang w:val="en-US"/>
        </w:rPr>
        <w:t xml:space="preserve"> , in the county of </w:t>
      </w:r>
      <w:r>
        <w:rPr>
          <w:rFonts w:ascii="Arial" w:hAnsi="Arial" w:eastAsia="Arial"/>
          <w:i w:val="true"/>
          <w:color w:val="000000"/>
          <w:spacing w:val="0"/>
          <w:w w:val="100"/>
          <w:sz w:val="28"/>
          <w:u w:val="single"/>
          <w:vertAlign w:val="baseline"/>
          <w:lang w:val="en-US"/>
        </w:rPr>
        <w:t xml:space="preserve"> (county) </w:t>
      </w:r>
      <w:r>
        <w:rPr>
          <w:rFonts w:ascii="Arial" w:hAnsi="Arial" w:eastAsia="Arial"/>
          <w:color w:val="000000"/>
          <w:spacing w:val="0"/>
          <w:w w:val="100"/>
          <w:sz w:val="28"/>
          <w:vertAlign w:val="baseline"/>
          <w:lang w:val="en-US"/>
        </w:rPr>
        <w:t xml:space="preserve"> , the defendant, </w:t>
      </w:r>
      <w:r>
        <w:rPr>
          <w:rFonts w:ascii="Arial" w:hAnsi="Arial" w:eastAsia="Arial"/>
          <w:i w:val="true"/>
          <w:color w:val="000000"/>
          <w:spacing w:val="0"/>
          <w:w w:val="100"/>
          <w:sz w:val="28"/>
          <w:u w:val="single"/>
          <w:vertAlign w:val="baseline"/>
          <w:lang w:val="en-US"/>
        </w:rPr>
        <w:t xml:space="preserve">(name of defendant) </w:t>
      </w:r>
      <w:r>
        <w:rPr>
          <w:rFonts w:ascii="Arial" w:hAnsi="Arial" w:eastAsia="Arial"/>
          <w:color w:val="000000"/>
          <w:spacing w:val="0"/>
          <w:w w:val="100"/>
          <w:sz w:val="28"/>
          <w:vertAlign w:val="baseline"/>
          <w:lang w:val="en-US"/>
        </w:rPr>
        <w:t xml:space="preserve"> , committed the crime of ( </w:t>
      </w:r>
      <w:r>
        <w:rPr>
          <w:rFonts w:ascii="Arial" w:hAnsi="Arial" w:eastAsia="Arial"/>
          <w:i w:val="true"/>
          <w:color w:val="000000"/>
          <w:spacing w:val="0"/>
          <w:w w:val="100"/>
          <w:sz w:val="28"/>
          <w:u w:val="single"/>
          <w:vertAlign w:val="baseline"/>
          <w:lang w:val="en-US"/>
        </w:rPr>
        <w:t xml:space="preserve">specified offense</w:t>
      </w:r>
      <w:r>
        <w:rPr>
          <w:rFonts w:ascii="Arial" w:hAnsi="Arial" w:eastAsia="Arial"/>
          <w:i w:val="true"/>
          <w:color w:val="000000"/>
          <w:spacing w:val="0"/>
          <w:w w:val="100"/>
          <w:sz w:val="28"/>
          <w:vertAlign w:val="baseline"/>
          <w:lang w:val="en-US"/>
        </w:rPr>
        <w:t xml:space="preserve">)</w:t>
      </w:r>
      <w:r>
        <w:rPr>
          <w:rFonts w:ascii="Arial" w:hAnsi="Arial" w:eastAsia="Arial"/>
          <w:color w:val="000000"/>
          <w:spacing w:val="0"/>
          <w:w w:val="100"/>
          <w:sz w:val="28"/>
          <w:vertAlign w:val="baseline"/>
          <w:lang w:val="en-US"/>
        </w:rPr>
        <w:t xml:space="preserve">; and</w:t>
      </w:r>
    </w:p>
    <w:p>
      <w:pPr>
        <w:pageBreakBefore w:val="false"/>
        <w:numPr>
          <w:ilvl w:val="0"/>
          <w:numId w:val="1"/>
        </w:numPr>
        <w:tabs>
          <w:tab w:val="clear" w:pos="720"/>
          <w:tab w:val="left" w:pos="1440"/>
        </w:tabs>
        <w:spacing w:before="320" w:after="0" w:line="324" w:lineRule="exact"/>
        <w:ind w:right="0" w:left="1440" w:hanging="72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did so for the purpose, in whole or substantial part, of his/her own direct sexual gratification.</w:t>
      </w:r>
    </w:p>
    <w:p>
      <w:pPr>
        <w:pageBreakBefore w:val="false"/>
        <w:spacing w:before="327" w:after="362" w:line="321" w:lineRule="exact"/>
        <w:ind w:right="72" w:left="0" w:firstLine="720"/>
        <w:jc w:val="both"/>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If you find the People have proven beyond a reasonable doubt both of those elements, you must find the defendant guilty</w:t>
      </w:r>
    </w:p>
    <w:p>
      <w:pPr>
        <w:pageBreakBefore w:val="false"/>
        <w:spacing w:before="248" w:after="0" w:line="277" w:lineRule="exact"/>
        <w:ind w:right="0" w:left="0" w:firstLine="0"/>
        <w:jc w:val="left"/>
        <w:textAlignment w:val="baseline"/>
        <w:rPr>
          <w:rFonts w:ascii="Arial" w:hAnsi="Arial" w:eastAsia="Arial"/>
          <w:color w:val="000000"/>
          <w:spacing w:val="0"/>
          <w:w w:val="100"/>
          <w:sz w:val="14"/>
          <w:vertAlign w:val="superscript"/>
          <w:lang w:val="en-US"/>
        </w:rPr>
      </w:pPr>
      <w:r>
        <w:pict>
          <v:line strokeweight="0.95pt" strokecolor="#000000" from="107.75pt,626.9pt" to="252.05pt,626.9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w:t>
      </w:r>
      <w:r>
        <w:rPr>
          <w:rFonts w:ascii="Arial" w:hAnsi="Arial" w:eastAsia="Arial"/>
          <w:color w:val="000000"/>
          <w:spacing w:val="0"/>
          <w:w w:val="100"/>
          <w:sz w:val="24"/>
          <w:vertAlign w:val="baseline"/>
          <w:lang w:val="en-US"/>
        </w:rPr>
        <w:t xml:space="preserve">Insert the applicable crime set forth in Penal Law § 130.91(2).</w:t>
      </w:r>
    </w:p>
    <w:p>
      <w:pPr>
        <w:pageBreakBefore w:val="false"/>
        <w:spacing w:before="243" w:after="0" w:line="277" w:lineRule="exact"/>
        <w:ind w:right="0" w:left="0" w:firstLine="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2</w:t>
      </w:r>
      <w:r>
        <w:rPr>
          <w:rFonts w:ascii="Arial" w:hAnsi="Arial" w:eastAsia="Arial"/>
          <w:color w:val="000000"/>
          <w:spacing w:val="0"/>
          <w:w w:val="100"/>
          <w:sz w:val="24"/>
          <w:vertAlign w:val="baseline"/>
          <w:lang w:val="en-US"/>
        </w:rPr>
        <w:t xml:space="preserve"> Although there is no statutory definition of “for the purpose of,” the Court of Appeals has held that, with respect to Robbery as defined in Penal Law §160.00, “for the purpose of” is the equivalent of a mens rea element of intent</w:t>
      </w:r>
      <w:r>
        <w:rPr>
          <w:rFonts w:ascii="Arial" w:hAnsi="Arial" w:eastAsia="Arial"/>
          <w:i w:val="true"/>
          <w:color w:val="000000"/>
          <w:spacing w:val="0"/>
          <w:w w:val="100"/>
          <w:sz w:val="24"/>
          <w:vertAlign w:val="baseline"/>
          <w:lang w:val="en-US"/>
        </w:rPr>
        <w:t xml:space="preserve">. See, People v. Smith</w:t>
      </w:r>
      <w:r>
        <w:rPr>
          <w:rFonts w:ascii="Arial" w:hAnsi="Arial" w:eastAsia="Arial"/>
          <w:color w:val="000000"/>
          <w:spacing w:val="0"/>
          <w:w w:val="100"/>
          <w:sz w:val="24"/>
          <w:vertAlign w:val="baseline"/>
          <w:lang w:val="en-US"/>
        </w:rPr>
        <w:t xml:space="preserve">, 79 N.Y.2d 309 (1992).</w:t>
      </w:r>
    </w:p>
    <w:p>
      <w:pPr>
        <w:sectPr>
          <w:type w:val="nextPage"/>
          <w:pgSz w:w="12240" w:h="15840" w:orient="portrait"/>
          <w:pgMar w:bottom="984" w:top="1440" w:right="2105" w:left="2155" w:header="720" w:footer="720"/>
          <w:titlePg w:val="false"/>
          <w:textDirection w:val="lrTb"/>
        </w:sectPr>
      </w:pPr>
    </w:p>
    <w:p>
      <w:pPr>
        <w:pageBreakBefore w:val="false"/>
        <w:spacing w:before="8" w:after="0" w:line="319"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of this crime.</w:t>
      </w:r>
    </w:p>
    <w:p>
      <w:pPr>
        <w:pageBreakBefore w:val="false"/>
        <w:spacing w:before="329" w:after="11044" w:line="324" w:lineRule="exact"/>
        <w:ind w:right="0" w:left="0" w:firstLine="72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If you find the People have not proven beyond a reasonable doubt either one or both of those elements, you must find the defendant not guilty of this crime.</w:t>
      </w:r>
    </w:p>
    <w:p>
      <w:pPr>
        <w:spacing w:before="329" w:after="11044" w:line="324" w:lineRule="exact"/>
        <w:sectPr>
          <w:type w:val="nextPage"/>
          <w:pgSz w:w="12240" w:h="15840" w:orient="portrait"/>
          <w:pgMar w:bottom="1024" w:top="1440" w:right="2127" w:left="2133" w:header="720" w:footer="720"/>
          <w:titlePg w:val="false"/>
          <w:textDirection w:val="lrTb"/>
        </w:sectPr>
      </w:pPr>
    </w:p>
    <w:p>
      <w:pPr>
        <w:pageBreakBefore w:val="false"/>
        <w:spacing w:before="2" w:after="0" w:line="297" w:lineRule="exact"/>
        <w:ind w:right="0" w:left="0" w:firstLine="0"/>
        <w:jc w:val="center"/>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2</w:t>
      </w:r>
    </w:p>
    <w:sectPr>
      <w:type w:val="continuous"/>
      <w:pgSz w:w="12240" w:h="15840" w:orient="portrait"/>
      <w:pgMar w:bottom="1024" w:top="1440" w:right="2130" w:left="213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Arial" w:hAnsi="Arial" w:eastAsia="Arial"/>
        <w:color w:val="000000"/>
        <w:spacing w:val="0"/>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