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pageBreakBefore w:val="false"/>
        <w:spacing w:before="6" w:after="0" w:line="331" w:lineRule="exact"/>
        <w:ind w:right="0" w:left="0" w:firstLine="0"/>
        <w:jc w:val="center"/>
        <w:textAlignment w:val="baseline"/>
        <w:rPr>
          <w:rFonts w:ascii="Arial" w:hAnsi="Arial" w:eastAsia="Arial"/>
          <w:b w:val="true"/>
          <w:color w:val="000000"/>
          <w:spacing w:val="0"/>
          <w:w w:val="100"/>
          <w:sz w:val="28"/>
          <w:vertAlign w:val="baseline"/>
          <w:lang w:val="en-US"/>
        </w:rPr>
      </w:pPr>
      <w:r>
        <w:rPr>
          <w:rFonts w:ascii="Arial" w:hAnsi="Arial" w:eastAsia="Arial"/>
          <w:b w:val="true"/>
          <w:color w:val="000000"/>
          <w:spacing w:val="0"/>
          <w:w w:val="100"/>
          <w:sz w:val="28"/>
          <w:vertAlign w:val="baseline"/>
          <w:lang w:val="en-US"/>
        </w:rPr>
        <w:t xml:space="preserve">RAPE IN THE SECOND DEGREE</w:t>
        <w:br/>
      </w:r>
      <w:r>
        <w:rPr>
          <w:rFonts w:ascii="Arial" w:hAnsi="Arial" w:eastAsia="Arial"/>
          <w:b w:val="true"/>
          <w:color w:val="000000"/>
          <w:spacing w:val="0"/>
          <w:w w:val="100"/>
          <w:sz w:val="28"/>
          <w:vertAlign w:val="baseline"/>
          <w:lang w:val="en-US"/>
        </w:rPr>
        <w:t xml:space="preserve">(Defendant 18 or More; Complainant Less than 15)</w:t>
        <w:br/>
      </w:r>
      <w:r>
        <w:rPr>
          <w:rFonts w:ascii="Arial" w:hAnsi="Arial" w:eastAsia="Arial"/>
          <w:b w:val="true"/>
          <w:color w:val="000000"/>
          <w:spacing w:val="0"/>
          <w:w w:val="100"/>
          <w:sz w:val="28"/>
          <w:vertAlign w:val="baseline"/>
          <w:lang w:val="en-US"/>
        </w:rPr>
        <w:t xml:space="preserve">Penal Law § 130.30 (1)</w:t>
        <w:br/>
      </w:r>
      <w:r>
        <w:rPr>
          <w:rFonts w:ascii="Arial" w:hAnsi="Arial" w:eastAsia="Arial"/>
          <w:b w:val="true"/>
          <w:color w:val="000000"/>
          <w:spacing w:val="0"/>
          <w:w w:val="100"/>
          <w:sz w:val="28"/>
          <w:vertAlign w:val="baseline"/>
          <w:lang w:val="en-US"/>
        </w:rPr>
        <w:t xml:space="preserve">(Committed on or after Nov. 1, 2003)</w:t>
      </w:r>
    </w:p>
    <w:p>
      <w:pPr>
        <w:pageBreakBefore w:val="false"/>
        <w:spacing w:before="325" w:after="0" w:line="324" w:lineRule="exact"/>
        <w:ind w:right="0" w:left="0" w:firstLine="0"/>
        <w:jc w:val="center"/>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The (</w:t>
      </w:r>
      <w:r>
        <w:rPr>
          <w:rFonts w:ascii="Arial" w:hAnsi="Arial" w:eastAsia="Arial"/>
          <w:i w:val="true"/>
          <w:color w:val="000000"/>
          <w:spacing w:val="0"/>
          <w:w w:val="100"/>
          <w:sz w:val="28"/>
          <w:u w:val="single"/>
          <w:vertAlign w:val="baseline"/>
          <w:lang w:val="en-US"/>
        </w:rPr>
        <w:t xml:space="preserve">specify</w:t>
      </w:r>
      <w:r>
        <w:rPr>
          <w:rFonts w:ascii="Arial" w:hAnsi="Arial" w:eastAsia="Arial"/>
          <w:color w:val="000000"/>
          <w:spacing w:val="0"/>
          <w:w w:val="100"/>
          <w:sz w:val="28"/>
          <w:vertAlign w:val="baseline"/>
          <w:lang w:val="en-US"/>
        </w:rPr>
        <w:t xml:space="preserve">) count is Rape in the Second Degree.</w:t>
      </w:r>
    </w:p>
    <w:p>
      <w:pPr>
        <w:pageBreakBefore w:val="false"/>
        <w:spacing w:before="325" w:after="0" w:line="324" w:lineRule="exact"/>
        <w:ind w:right="0" w:left="0" w:firstLine="720"/>
        <w:jc w:val="both"/>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Under our law, a person is guilty of Rape in the Second Degree when, being eighteen years (18) old or more, he or she engages in sexual intercourse with another person less than fifteen (15) years old.</w:t>
      </w:r>
    </w:p>
    <w:p>
      <w:pPr>
        <w:pageBreakBefore w:val="false"/>
        <w:spacing w:before="319" w:after="0" w:line="324" w:lineRule="exact"/>
        <w:ind w:right="0" w:left="0" w:firstLine="720"/>
        <w:jc w:val="both"/>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Under our law, it is also an element of this offense that the sexual intercourse was committed without the consent of that other person.</w:t>
      </w:r>
      <w:r>
        <w:rPr>
          <w:rFonts w:ascii="Arial" w:hAnsi="Arial" w:eastAsia="Arial"/>
          <w:color w:val="000000"/>
          <w:spacing w:val="0"/>
          <w:w w:val="100"/>
          <w:sz w:val="28"/>
          <w:vertAlign w:val="superscript"/>
          <w:lang w:val="en-US"/>
        </w:rPr>
        <w:t xml:space="preserve">1</w:t>
      </w:r>
      <w:r>
        <w:rPr>
          <w:rFonts w:ascii="Arial" w:hAnsi="Arial" w:eastAsia="Arial"/>
          <w:color w:val="000000"/>
          <w:spacing w:val="0"/>
          <w:w w:val="100"/>
          <w:sz w:val="28"/>
          <w:vertAlign w:val="baseline"/>
          <w:lang w:val="en-US"/>
        </w:rPr>
        <w:t xml:space="preserve"> Sexual intercourse takes place without a person's consent when that person is deemed by law to be incapable of consent. Under our law, a person is deemed incapable of consenting to sexual intercourse when he or she is less than seventeen (17) years old.</w:t>
      </w:r>
      <w:r>
        <w:rPr>
          <w:rFonts w:ascii="Arial" w:hAnsi="Arial" w:eastAsia="Arial"/>
          <w:color w:val="000000"/>
          <w:spacing w:val="0"/>
          <w:w w:val="100"/>
          <w:sz w:val="28"/>
          <w:vertAlign w:val="superscript"/>
          <w:lang w:val="en-US"/>
        </w:rPr>
        <w:t xml:space="preserve">2</w:t>
      </w:r>
      <w:r>
        <w:rPr>
          <w:rFonts w:ascii="Arial" w:hAnsi="Arial" w:eastAsia="Arial"/>
          <w:color w:val="000000"/>
          <w:spacing w:val="0"/>
          <w:w w:val="100"/>
          <w:sz w:val="28"/>
          <w:vertAlign w:val="baseline"/>
          <w:lang w:val="en-US"/>
        </w:rPr>
        <w:t xml:space="preserve"> Thus, the law deems sexual intercourse with such a person to be without that person's consent, even if in fact that person did consent.</w:t>
      </w:r>
    </w:p>
    <w:p>
      <w:pPr>
        <w:pageBreakBefore w:val="false"/>
        <w:spacing w:before="307" w:after="0" w:line="324" w:lineRule="exact"/>
        <w:ind w:right="0" w:left="0" w:firstLine="720"/>
        <w:jc w:val="both"/>
        <w:textAlignment w:val="baseline"/>
        <w:rPr>
          <w:rFonts w:ascii="Arial" w:hAnsi="Arial" w:eastAsia="Arial"/>
          <w:color w:val="000000"/>
          <w:spacing w:val="-4"/>
          <w:w w:val="100"/>
          <w:sz w:val="28"/>
          <w:vertAlign w:val="baseline"/>
          <w:lang w:val="en-US"/>
        </w:rPr>
      </w:pPr>
      <w:r>
        <w:rPr>
          <w:rFonts w:ascii="Arial" w:hAnsi="Arial" w:eastAsia="Arial"/>
          <w:color w:val="000000"/>
          <w:spacing w:val="-4"/>
          <w:w w:val="100"/>
          <w:sz w:val="28"/>
          <w:vertAlign w:val="baseline"/>
          <w:lang w:val="en-US"/>
        </w:rPr>
        <w:t xml:space="preserve">It is not a defense to this charge that the actor did not know that the person with whom the actor had sexual intercourse was less than fifteen (15) years old, or that the actor believed that such person was fifteen (15) years old or more on the date of the crime.</w:t>
      </w:r>
      <w:r>
        <w:rPr>
          <w:rFonts w:ascii="Arial" w:hAnsi="Arial" w:eastAsia="Arial"/>
          <w:color w:val="000000"/>
          <w:spacing w:val="-4"/>
          <w:w w:val="100"/>
          <w:sz w:val="28"/>
          <w:vertAlign w:val="superscript"/>
          <w:lang w:val="en-US"/>
        </w:rPr>
        <w:t xml:space="preserve">3</w:t>
      </w:r>
      <w:r>
        <w:rPr>
          <w:rFonts w:ascii="Arial" w:hAnsi="Arial" w:eastAsia="Arial"/>
          <w:color w:val="000000"/>
          <w:spacing w:val="-4"/>
          <w:w w:val="100"/>
          <w:sz w:val="17"/>
          <w:vertAlign w:val="baseline"/>
          <w:lang w:val="en-US"/>
        </w:rPr>
        <w:t xml:space="preserve">
</w:t>
      </w:r>
    </w:p>
    <w:p>
      <w:pPr>
        <w:pageBreakBefore w:val="false"/>
        <w:spacing w:before="346" w:after="0" w:line="324" w:lineRule="exact"/>
        <w:ind w:right="0" w:left="720" w:firstLine="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w:t>
      </w:r>
      <w:r>
        <w:rPr>
          <w:rFonts w:ascii="Arial" w:hAnsi="Arial" w:eastAsia="Arial"/>
          <w:i w:val="true"/>
          <w:color w:val="000000"/>
          <w:spacing w:val="0"/>
          <w:w w:val="100"/>
          <w:sz w:val="28"/>
          <w:vertAlign w:val="baseline"/>
          <w:lang w:val="en-US"/>
        </w:rPr>
        <w:t xml:space="preserve">Add if applicable:</w:t>
      </w:r>
    </w:p>
    <w:p>
      <w:pPr>
        <w:pageBreakBefore w:val="false"/>
        <w:spacing w:before="318" w:after="474" w:line="324" w:lineRule="exact"/>
        <w:ind w:right="0" w:left="720" w:firstLine="720"/>
        <w:jc w:val="both"/>
        <w:textAlignment w:val="baseline"/>
        <w:rPr>
          <w:rFonts w:ascii="Arial" w:hAnsi="Arial" w:eastAsia="Arial"/>
          <w:color w:val="000000"/>
          <w:spacing w:val="-4"/>
          <w:w w:val="100"/>
          <w:sz w:val="28"/>
          <w:vertAlign w:val="baseline"/>
          <w:lang w:val="en-US"/>
        </w:rPr>
      </w:pPr>
      <w:r>
        <w:rPr>
          <w:rFonts w:ascii="Arial" w:hAnsi="Arial" w:eastAsia="Arial"/>
          <w:color w:val="000000"/>
          <w:spacing w:val="-4"/>
          <w:w w:val="100"/>
          <w:sz w:val="28"/>
          <w:vertAlign w:val="baseline"/>
          <w:lang w:val="en-US"/>
        </w:rPr>
        <w:t xml:space="preserve">It is a defense to this charge that the defendant was married to the victim.</w:t>
      </w:r>
      <w:r>
        <w:rPr>
          <w:rFonts w:ascii="Arial" w:hAnsi="Arial" w:eastAsia="Arial"/>
          <w:color w:val="000000"/>
          <w:spacing w:val="-4"/>
          <w:w w:val="100"/>
          <w:sz w:val="28"/>
          <w:vertAlign w:val="superscript"/>
          <w:lang w:val="en-US"/>
        </w:rPr>
        <w:t xml:space="preserve">4</w:t>
      </w:r>
      <w:r>
        <w:rPr>
          <w:rFonts w:ascii="Arial" w:hAnsi="Arial" w:eastAsia="Arial"/>
          <w:color w:val="000000"/>
          <w:spacing w:val="-4"/>
          <w:w w:val="100"/>
          <w:sz w:val="28"/>
          <w:vertAlign w:val="baseline"/>
          <w:lang w:val="en-US"/>
        </w:rPr>
        <w:t xml:space="preserve"> "Married" means the existence of the</w:t>
      </w:r>
    </w:p>
    <w:p>
      <w:pPr>
        <w:pageBreakBefore w:val="false"/>
        <w:spacing w:before="257" w:after="0" w:line="276" w:lineRule="exact"/>
        <w:ind w:right="0" w:left="720" w:firstLine="0"/>
        <w:jc w:val="left"/>
        <w:textAlignment w:val="baseline"/>
        <w:rPr>
          <w:rFonts w:ascii="Arial" w:hAnsi="Arial" w:eastAsia="Arial"/>
          <w:color w:val="000000"/>
          <w:spacing w:val="0"/>
          <w:w w:val="100"/>
          <w:sz w:val="14"/>
          <w:vertAlign w:val="superscript"/>
          <w:lang w:val="en-US"/>
        </w:rPr>
      </w:pPr>
      <w:r>
        <w:pict>
          <v:line strokeweight="0.95pt" strokecolor="#000000" from="108pt,616.3pt" to="252.05pt,616.3pt" style="position:absolute;mso-position-horizontal-relative:page;mso-position-vertical-relative:page;">
            <v:stroke dashstyle="solid"/>
          </v:line>
        </w:pict>
      </w:r>
      <w:r>
        <w:rPr>
          <w:rFonts w:ascii="Arial" w:hAnsi="Arial" w:eastAsia="Arial"/>
          <w:color w:val="000000"/>
          <w:spacing w:val="0"/>
          <w:w w:val="100"/>
          <w:sz w:val="14"/>
          <w:vertAlign w:val="superscript"/>
          <w:lang w:val="en-US"/>
        </w:rPr>
        <w:t xml:space="preserve">1</w:t>
      </w:r>
      <w:r>
        <w:rPr>
          <w:rFonts w:ascii="Arial" w:hAnsi="Arial" w:eastAsia="Arial"/>
          <w:i w:val="true"/>
          <w:color w:val="000000"/>
          <w:spacing w:val="0"/>
          <w:w w:val="100"/>
          <w:sz w:val="24"/>
          <w:vertAlign w:val="baseline"/>
          <w:lang w:val="en-US"/>
        </w:rPr>
        <w:t xml:space="preserve"> See </w:t>
      </w:r>
      <w:r>
        <w:rPr>
          <w:rFonts w:ascii="Arial" w:hAnsi="Arial" w:eastAsia="Arial"/>
          <w:color w:val="000000"/>
          <w:spacing w:val="0"/>
          <w:w w:val="100"/>
          <w:sz w:val="24"/>
          <w:vertAlign w:val="baseline"/>
          <w:lang w:val="en-US"/>
        </w:rPr>
        <w:t xml:space="preserve">Penal Law § 130.05 (1).</w:t>
      </w:r>
    </w:p>
    <w:p>
      <w:pPr>
        <w:pageBreakBefore w:val="false"/>
        <w:spacing w:before="242" w:after="0" w:line="276" w:lineRule="exact"/>
        <w:ind w:right="0" w:left="720" w:firstLine="0"/>
        <w:jc w:val="left"/>
        <w:textAlignment w:val="baseline"/>
        <w:rPr>
          <w:rFonts w:ascii="Arial" w:hAnsi="Arial" w:eastAsia="Arial"/>
          <w:color w:val="000000"/>
          <w:spacing w:val="0"/>
          <w:w w:val="100"/>
          <w:sz w:val="14"/>
          <w:vertAlign w:val="superscript"/>
          <w:lang w:val="en-US"/>
        </w:rPr>
      </w:pPr>
      <w:r>
        <w:rPr>
          <w:rFonts w:ascii="Arial" w:hAnsi="Arial" w:eastAsia="Arial"/>
          <w:color w:val="000000"/>
          <w:spacing w:val="0"/>
          <w:w w:val="100"/>
          <w:sz w:val="14"/>
          <w:vertAlign w:val="superscript"/>
          <w:lang w:val="en-US"/>
        </w:rPr>
        <w:t xml:space="preserve">2</w:t>
      </w:r>
      <w:r>
        <w:rPr>
          <w:rFonts w:ascii="Arial" w:hAnsi="Arial" w:eastAsia="Arial"/>
          <w:i w:val="true"/>
          <w:color w:val="000000"/>
          <w:spacing w:val="0"/>
          <w:w w:val="100"/>
          <w:sz w:val="24"/>
          <w:vertAlign w:val="baseline"/>
          <w:lang w:val="en-US"/>
        </w:rPr>
        <w:t xml:space="preserve"> See </w:t>
      </w:r>
      <w:r>
        <w:rPr>
          <w:rFonts w:ascii="Arial" w:hAnsi="Arial" w:eastAsia="Arial"/>
          <w:color w:val="000000"/>
          <w:spacing w:val="0"/>
          <w:w w:val="100"/>
          <w:sz w:val="24"/>
          <w:vertAlign w:val="baseline"/>
          <w:lang w:val="en-US"/>
        </w:rPr>
        <w:t xml:space="preserve">Penal Law § 130.05 (3) (a).</w:t>
      </w:r>
    </w:p>
    <w:p>
      <w:pPr>
        <w:pageBreakBefore w:val="false"/>
        <w:spacing w:before="243" w:after="0" w:line="276" w:lineRule="exact"/>
        <w:ind w:right="0" w:left="720" w:firstLine="0"/>
        <w:jc w:val="left"/>
        <w:textAlignment w:val="baseline"/>
        <w:rPr>
          <w:rFonts w:ascii="Arial" w:hAnsi="Arial" w:eastAsia="Arial"/>
          <w:color w:val="000000"/>
          <w:spacing w:val="0"/>
          <w:w w:val="100"/>
          <w:sz w:val="14"/>
          <w:vertAlign w:val="superscript"/>
          <w:lang w:val="en-US"/>
        </w:rPr>
      </w:pPr>
      <w:r>
        <w:rPr>
          <w:rFonts w:ascii="Arial" w:hAnsi="Arial" w:eastAsia="Arial"/>
          <w:color w:val="000000"/>
          <w:spacing w:val="0"/>
          <w:w w:val="100"/>
          <w:sz w:val="14"/>
          <w:vertAlign w:val="superscript"/>
          <w:lang w:val="en-US"/>
        </w:rPr>
        <w:t xml:space="preserve">3</w:t>
      </w:r>
      <w:r>
        <w:rPr>
          <w:rFonts w:ascii="Arial" w:hAnsi="Arial" w:eastAsia="Arial"/>
          <w:i w:val="true"/>
          <w:color w:val="000000"/>
          <w:spacing w:val="0"/>
          <w:w w:val="100"/>
          <w:sz w:val="24"/>
          <w:vertAlign w:val="baseline"/>
          <w:lang w:val="en-US"/>
        </w:rPr>
        <w:t xml:space="preserve"> See </w:t>
      </w:r>
      <w:r>
        <w:rPr>
          <w:rFonts w:ascii="Arial" w:hAnsi="Arial" w:eastAsia="Arial"/>
          <w:color w:val="000000"/>
          <w:spacing w:val="0"/>
          <w:w w:val="100"/>
          <w:sz w:val="24"/>
          <w:vertAlign w:val="baseline"/>
          <w:lang w:val="en-US"/>
        </w:rPr>
        <w:t xml:space="preserve">Penal Law § 15.20 (3).</w:t>
      </w:r>
    </w:p>
    <w:p>
      <w:pPr>
        <w:pageBreakBefore w:val="false"/>
        <w:spacing w:before="242" w:after="0" w:line="276" w:lineRule="exact"/>
        <w:ind w:right="0" w:left="720" w:firstLine="0"/>
        <w:jc w:val="left"/>
        <w:textAlignment w:val="baseline"/>
        <w:rPr>
          <w:rFonts w:ascii="Arial" w:hAnsi="Arial" w:eastAsia="Arial"/>
          <w:color w:val="000000"/>
          <w:spacing w:val="0"/>
          <w:w w:val="100"/>
          <w:sz w:val="14"/>
          <w:vertAlign w:val="superscript"/>
          <w:lang w:val="en-US"/>
        </w:rPr>
      </w:pPr>
      <w:r>
        <w:rPr>
          <w:rFonts w:ascii="Arial" w:hAnsi="Arial" w:eastAsia="Arial"/>
          <w:color w:val="000000"/>
          <w:spacing w:val="0"/>
          <w:w w:val="100"/>
          <w:sz w:val="14"/>
          <w:vertAlign w:val="superscript"/>
          <w:lang w:val="en-US"/>
        </w:rPr>
        <w:t xml:space="preserve">4</w:t>
      </w:r>
      <w:r>
        <w:rPr>
          <w:rFonts w:ascii="Arial" w:hAnsi="Arial" w:eastAsia="Arial"/>
          <w:i w:val="true"/>
          <w:color w:val="000000"/>
          <w:spacing w:val="0"/>
          <w:w w:val="100"/>
          <w:sz w:val="24"/>
          <w:vertAlign w:val="baseline"/>
          <w:lang w:val="en-US"/>
        </w:rPr>
        <w:t xml:space="preserve"> See </w:t>
      </w:r>
      <w:r>
        <w:rPr>
          <w:rFonts w:ascii="Arial" w:hAnsi="Arial" w:eastAsia="Arial"/>
          <w:color w:val="000000"/>
          <w:spacing w:val="0"/>
          <w:w w:val="100"/>
          <w:sz w:val="24"/>
          <w:vertAlign w:val="baseline"/>
          <w:lang w:val="en-US"/>
        </w:rPr>
        <w:t xml:space="preserve">Penal Law § 130.10 (4).</w:t>
      </w:r>
    </w:p>
    <w:p>
      <w:pPr>
        <w:sectPr>
          <w:type w:val="nextPage"/>
          <w:pgSz w:w="12240" w:h="15840" w:orient="portrait"/>
          <w:pgMar w:bottom="1004" w:top="1440" w:right="2140" w:left="2160" w:header="720" w:footer="720"/>
          <w:titlePg w:val="false"/>
          <w:textDirection w:val="lrTb"/>
        </w:sectPr>
      </w:pPr>
    </w:p>
    <w:p>
      <w:pPr>
        <w:pageBreakBefore w:val="false"/>
        <w:spacing w:before="3" w:after="0" w:line="324" w:lineRule="exact"/>
        <w:ind w:right="0" w:left="720" w:firstLine="0"/>
        <w:jc w:val="both"/>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relationship between the defendant and the victim as spouses which was recognized by law at the time of the alleged commission of this charge crime.</w:t>
      </w:r>
      <w:r>
        <w:rPr>
          <w:rFonts w:ascii="Arial" w:hAnsi="Arial" w:eastAsia="Arial"/>
          <w:color w:val="000000"/>
          <w:spacing w:val="0"/>
          <w:w w:val="100"/>
          <w:sz w:val="28"/>
          <w:vertAlign w:val="superscript"/>
          <w:lang w:val="en-US"/>
        </w:rPr>
        <w:t xml:space="preserve">5</w:t>
      </w:r>
      <w:r>
        <w:rPr>
          <w:rFonts w:ascii="Arial" w:hAnsi="Arial" w:eastAsia="Arial"/>
          <w:color w:val="000000"/>
          <w:spacing w:val="0"/>
          <w:w w:val="100"/>
          <w:sz w:val="28"/>
          <w:vertAlign w:val="baseline"/>
          <w:lang w:val="en-US"/>
        </w:rPr>
        <w:t xml:space="preserve">]</w:t>
      </w:r>
    </w:p>
    <w:p>
      <w:pPr>
        <w:pageBreakBefore w:val="false"/>
        <w:spacing w:before="330" w:after="0" w:line="322" w:lineRule="exact"/>
        <w:ind w:right="0" w:left="0" w:firstLine="720"/>
        <w:jc w:val="both"/>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The following term used in that definition has a special meaning:</w:t>
      </w:r>
    </w:p>
    <w:p>
      <w:pPr>
        <w:pageBreakBefore w:val="false"/>
        <w:spacing w:before="328" w:after="0" w:line="323" w:lineRule="exact"/>
        <w:ind w:right="0" w:left="0" w:firstLine="720"/>
        <w:jc w:val="both"/>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SEXUAL INTERCOURSE means any penetration, however slight, of the penis into the vaginal opening. In other words, any penetration of the penis into the vaginal opening, regardless of the distance of penetration, constitutes an act of sexual intercourse. Sexual intercourse does not necessarily require erection of the penis, emission, or orgasm.</w:t>
      </w:r>
      <w:r>
        <w:rPr>
          <w:rFonts w:ascii="Arial" w:hAnsi="Arial" w:eastAsia="Arial"/>
          <w:color w:val="000000"/>
          <w:spacing w:val="0"/>
          <w:w w:val="100"/>
          <w:sz w:val="28"/>
          <w:vertAlign w:val="superscript"/>
          <w:lang w:val="en-US"/>
        </w:rPr>
        <w:t xml:space="preserve">6</w:t>
      </w:r>
      <w:r>
        <w:rPr>
          <w:rFonts w:ascii="Arial" w:hAnsi="Arial" w:eastAsia="Arial"/>
          <w:color w:val="000000"/>
          <w:spacing w:val="0"/>
          <w:w w:val="100"/>
          <w:sz w:val="17"/>
          <w:vertAlign w:val="baseline"/>
          <w:lang w:val="en-US"/>
        </w:rPr>
        <w:t xml:space="preserve">
</w:t>
      </w:r>
    </w:p>
    <w:p>
      <w:pPr>
        <w:pageBreakBefore w:val="false"/>
        <w:spacing w:before="322" w:after="0" w:line="325" w:lineRule="exact"/>
        <w:ind w:right="0" w:left="0" w:firstLine="720"/>
        <w:jc w:val="both"/>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In order for you to find the defendant guilty of this crime, the People are required to prove, from all of the evidence in the case, beyond a reasonable doubt, each of the following (three/four) elements:</w:t>
      </w:r>
    </w:p>
    <w:p>
      <w:pPr>
        <w:pageBreakBefore w:val="false"/>
        <w:numPr>
          <w:ilvl w:val="0"/>
          <w:numId w:val="1"/>
        </w:numPr>
        <w:tabs>
          <w:tab w:val="clear" w:pos="720"/>
          <w:tab w:val="left" w:pos="1440"/>
        </w:tabs>
        <w:spacing w:before="325" w:after="0" w:line="324" w:lineRule="exact"/>
        <w:ind w:right="0" w:left="1440" w:hanging="720"/>
        <w:jc w:val="both"/>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That on or about (</w:t>
      </w:r>
      <w:r>
        <w:rPr>
          <w:rFonts w:ascii="Arial" w:hAnsi="Arial" w:eastAsia="Arial"/>
          <w:i w:val="true"/>
          <w:color w:val="000000"/>
          <w:spacing w:val="0"/>
          <w:w w:val="100"/>
          <w:sz w:val="28"/>
          <w:u w:val="single"/>
          <w:vertAlign w:val="baseline"/>
          <w:lang w:val="en-US"/>
        </w:rPr>
        <w:t xml:space="preserve">date</w:t>
      </w:r>
      <w:r>
        <w:rPr>
          <w:rFonts w:ascii="Arial" w:hAnsi="Arial" w:eastAsia="Arial"/>
          <w:color w:val="000000"/>
          <w:spacing w:val="0"/>
          <w:w w:val="100"/>
          <w:sz w:val="28"/>
          <w:vertAlign w:val="baseline"/>
          <w:lang w:val="en-US"/>
        </w:rPr>
        <w:t xml:space="preserve">), in the county of (</w:t>
      </w:r>
      <w:r>
        <w:rPr>
          <w:rFonts w:ascii="Arial" w:hAnsi="Arial" w:eastAsia="Arial"/>
          <w:i w:val="true"/>
          <w:color w:val="000000"/>
          <w:spacing w:val="0"/>
          <w:w w:val="100"/>
          <w:sz w:val="28"/>
          <w:u w:val="single"/>
          <w:vertAlign w:val="baseline"/>
          <w:lang w:val="en-US"/>
        </w:rPr>
        <w:t xml:space="preserve">County</w:t>
      </w:r>
      <w:r>
        <w:rPr>
          <w:rFonts w:ascii="Arial" w:hAnsi="Arial" w:eastAsia="Arial"/>
          <w:color w:val="000000"/>
          <w:spacing w:val="0"/>
          <w:w w:val="100"/>
          <w:sz w:val="28"/>
          <w:vertAlign w:val="baseline"/>
          <w:lang w:val="en-US"/>
        </w:rPr>
        <w:t xml:space="preserve">) the defendant (</w:t>
      </w:r>
      <w:r>
        <w:rPr>
          <w:rFonts w:ascii="Arial" w:hAnsi="Arial" w:eastAsia="Arial"/>
          <w:i w:val="true"/>
          <w:color w:val="000000"/>
          <w:spacing w:val="0"/>
          <w:w w:val="100"/>
          <w:sz w:val="28"/>
          <w:u w:val="single"/>
          <w:vertAlign w:val="baseline"/>
          <w:lang w:val="en-US"/>
        </w:rPr>
        <w:t xml:space="preserve">defendant’s name</w:t>
      </w:r>
      <w:r>
        <w:rPr>
          <w:rFonts w:ascii="Arial" w:hAnsi="Arial" w:eastAsia="Arial"/>
          <w:color w:val="000000"/>
          <w:spacing w:val="0"/>
          <w:w w:val="100"/>
          <w:sz w:val="28"/>
          <w:vertAlign w:val="baseline"/>
          <w:lang w:val="en-US"/>
        </w:rPr>
        <w:t xml:space="preserve">), engaged in sexual intercourse with (</w:t>
      </w:r>
      <w:r>
        <w:rPr>
          <w:rFonts w:ascii="Arial" w:hAnsi="Arial" w:eastAsia="Arial"/>
          <w:i w:val="true"/>
          <w:color w:val="000000"/>
          <w:spacing w:val="0"/>
          <w:w w:val="100"/>
          <w:sz w:val="28"/>
          <w:u w:val="single"/>
          <w:vertAlign w:val="baseline"/>
          <w:lang w:val="en-US"/>
        </w:rPr>
        <w:t xml:space="preserve">complainant’s name</w:t>
      </w:r>
      <w:r>
        <w:rPr>
          <w:rFonts w:ascii="Arial" w:hAnsi="Arial" w:eastAsia="Arial"/>
          <w:color w:val="000000"/>
          <w:spacing w:val="0"/>
          <w:w w:val="100"/>
          <w:sz w:val="28"/>
          <w:vertAlign w:val="baseline"/>
          <w:lang w:val="en-US"/>
        </w:rPr>
        <w:t xml:space="preserve">); and,</w:t>
      </w:r>
    </w:p>
    <w:p>
      <w:pPr>
        <w:pageBreakBefore w:val="false"/>
        <w:numPr>
          <w:ilvl w:val="0"/>
          <w:numId w:val="1"/>
        </w:numPr>
        <w:tabs>
          <w:tab w:val="clear" w:pos="720"/>
          <w:tab w:val="left" w:pos="1440"/>
        </w:tabs>
        <w:spacing w:before="326" w:after="0" w:line="321" w:lineRule="exact"/>
        <w:ind w:right="0" w:left="1440" w:hanging="720"/>
        <w:jc w:val="both"/>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That the defendant was eighteen years old or more ; and,</w:t>
      </w:r>
    </w:p>
    <w:p>
      <w:pPr>
        <w:pageBreakBefore w:val="false"/>
        <w:numPr>
          <w:ilvl w:val="0"/>
          <w:numId w:val="1"/>
        </w:numPr>
        <w:tabs>
          <w:tab w:val="clear" w:pos="720"/>
          <w:tab w:val="left" w:pos="1440"/>
        </w:tabs>
        <w:spacing w:before="331" w:after="0" w:line="322" w:lineRule="exact"/>
        <w:ind w:right="0" w:left="1440" w:hanging="720"/>
        <w:jc w:val="both"/>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That (</w:t>
      </w:r>
      <w:r>
        <w:rPr>
          <w:rFonts w:ascii="Arial" w:hAnsi="Arial" w:eastAsia="Arial"/>
          <w:i w:val="true"/>
          <w:color w:val="000000"/>
          <w:spacing w:val="0"/>
          <w:w w:val="100"/>
          <w:sz w:val="28"/>
          <w:u w:val="single"/>
          <w:vertAlign w:val="baseline"/>
          <w:lang w:val="en-US"/>
        </w:rPr>
        <w:t xml:space="preserve">complainant’s name</w:t>
      </w:r>
      <w:r>
        <w:rPr>
          <w:rFonts w:ascii="Arial" w:hAnsi="Arial" w:eastAsia="Arial"/>
          <w:color w:val="000000"/>
          <w:spacing w:val="0"/>
          <w:w w:val="100"/>
          <w:sz w:val="28"/>
          <w:vertAlign w:val="baseline"/>
          <w:lang w:val="en-US"/>
        </w:rPr>
        <w:t xml:space="preserve">) was less than fifteen (15) years old.</w:t>
      </w:r>
    </w:p>
    <w:p>
      <w:pPr>
        <w:pageBreakBefore w:val="false"/>
        <w:spacing w:before="330" w:after="326" w:line="318" w:lineRule="exact"/>
        <w:ind w:right="0" w:left="720" w:firstLine="0"/>
        <w:jc w:val="left"/>
        <w:textAlignment w:val="baseline"/>
        <w:rPr>
          <w:rFonts w:ascii="Arial" w:hAnsi="Arial" w:eastAsia="Arial"/>
          <w:i w:val="true"/>
          <w:color w:val="000000"/>
          <w:spacing w:val="0"/>
          <w:w w:val="100"/>
          <w:sz w:val="28"/>
          <w:vertAlign w:val="baseline"/>
          <w:lang w:val="en-US"/>
        </w:rPr>
      </w:pPr>
      <w:r>
        <w:rPr>
          <w:rFonts w:ascii="Arial" w:hAnsi="Arial" w:eastAsia="Arial"/>
          <w:i w:val="true"/>
          <w:color w:val="000000"/>
          <w:spacing w:val="0"/>
          <w:w w:val="100"/>
          <w:sz w:val="28"/>
          <w:vertAlign w:val="baseline"/>
          <w:lang w:val="en-US"/>
        </w:rPr>
        <w:t xml:space="preserve">[Add if applicable</w:t>
      </w:r>
      <w:r>
        <w:rPr>
          <w:rFonts w:ascii="Arial" w:hAnsi="Arial" w:eastAsia="Arial"/>
          <w:color w:val="000000"/>
          <w:spacing w:val="0"/>
          <w:w w:val="100"/>
          <w:sz w:val="28"/>
          <w:vertAlign w:val="baseline"/>
          <w:lang w:val="en-US"/>
        </w:rPr>
        <w:t xml:space="preserve">:</w:t>
      </w:r>
    </w:p>
    <w:p>
      <w:pPr>
        <w:pageBreakBefore w:val="false"/>
        <w:spacing w:before="258" w:after="0" w:line="277" w:lineRule="exact"/>
        <w:ind w:right="0" w:left="0" w:firstLine="720"/>
        <w:jc w:val="both"/>
        <w:textAlignment w:val="baseline"/>
        <w:rPr>
          <w:rFonts w:ascii="Arial" w:hAnsi="Arial" w:eastAsia="Arial"/>
          <w:color w:val="000000"/>
          <w:spacing w:val="0"/>
          <w:w w:val="100"/>
          <w:sz w:val="14"/>
          <w:vertAlign w:val="superscript"/>
          <w:lang w:val="en-US"/>
        </w:rPr>
      </w:pPr>
      <w:r>
        <w:pict>
          <v:line strokeweight="1.2pt" strokecolor="#000000" from="108pt,575.3pt" to="252.05pt,575.3pt" style="position:absolute;mso-position-horizontal-relative:page;mso-position-vertical-relative:page;">
            <v:stroke dashstyle="solid"/>
          </v:line>
        </w:pict>
      </w:r>
      <w:r>
        <w:rPr>
          <w:rFonts w:ascii="Arial" w:hAnsi="Arial" w:eastAsia="Arial"/>
          <w:color w:val="000000"/>
          <w:spacing w:val="0"/>
          <w:w w:val="100"/>
          <w:sz w:val="14"/>
          <w:vertAlign w:val="superscript"/>
          <w:lang w:val="en-US"/>
        </w:rPr>
        <w:t xml:space="preserve">5</w:t>
      </w:r>
      <w:r>
        <w:rPr>
          <w:rFonts w:ascii="Arial" w:hAnsi="Arial" w:eastAsia="Arial"/>
          <w:i w:val="true"/>
          <w:color w:val="000000"/>
          <w:spacing w:val="0"/>
          <w:w w:val="100"/>
          <w:sz w:val="24"/>
          <w:vertAlign w:val="baseline"/>
          <w:lang w:val="en-US"/>
        </w:rPr>
        <w:t xml:space="preserve"> See </w:t>
      </w:r>
      <w:r>
        <w:rPr>
          <w:rFonts w:ascii="Arial" w:hAnsi="Arial" w:eastAsia="Arial"/>
          <w:color w:val="000000"/>
          <w:spacing w:val="0"/>
          <w:w w:val="100"/>
          <w:sz w:val="24"/>
          <w:vertAlign w:val="baseline"/>
          <w:lang w:val="en-US"/>
        </w:rPr>
        <w:t xml:space="preserve">Penal Law § 130.00 (4). </w:t>
      </w:r>
      <w:r>
        <w:rPr>
          <w:rFonts w:ascii="Arial" w:hAnsi="Arial" w:eastAsia="Arial"/>
          <w:i w:val="true"/>
          <w:color w:val="000000"/>
          <w:spacing w:val="0"/>
          <w:w w:val="100"/>
          <w:sz w:val="24"/>
          <w:vertAlign w:val="baseline"/>
          <w:lang w:val="en-US"/>
        </w:rPr>
        <w:t xml:space="preserve">See </w:t>
      </w:r>
      <w:r>
        <w:rPr>
          <w:rFonts w:ascii="Arial" w:hAnsi="Arial" w:eastAsia="Arial"/>
          <w:color w:val="000000"/>
          <w:spacing w:val="0"/>
          <w:w w:val="100"/>
          <w:sz w:val="24"/>
          <w:vertAlign w:val="baseline"/>
          <w:lang w:val="en-US"/>
        </w:rPr>
        <w:t xml:space="preserve">Domestic Relations Law §§ 15 and 15-a.</w:t>
      </w:r>
    </w:p>
    <w:p>
      <w:pPr>
        <w:pageBreakBefore w:val="false"/>
        <w:spacing w:before="242" w:after="0" w:line="277" w:lineRule="exact"/>
        <w:ind w:right="0" w:left="0" w:firstLine="720"/>
        <w:jc w:val="both"/>
        <w:textAlignment w:val="baseline"/>
        <w:rPr>
          <w:rFonts w:ascii="Arial" w:hAnsi="Arial" w:eastAsia="Arial"/>
          <w:color w:val="000000"/>
          <w:spacing w:val="0"/>
          <w:w w:val="100"/>
          <w:sz w:val="14"/>
          <w:vertAlign w:val="superscript"/>
          <w:lang w:val="en-US"/>
        </w:rPr>
      </w:pPr>
      <w:r>
        <w:rPr>
          <w:rFonts w:ascii="Arial" w:hAnsi="Arial" w:eastAsia="Arial"/>
          <w:color w:val="000000"/>
          <w:spacing w:val="0"/>
          <w:w w:val="100"/>
          <w:sz w:val="14"/>
          <w:vertAlign w:val="superscript"/>
          <w:lang w:val="en-US"/>
        </w:rPr>
        <w:t xml:space="preserve">6</w:t>
      </w:r>
      <w:r>
        <w:rPr>
          <w:rFonts w:ascii="Arial" w:hAnsi="Arial" w:eastAsia="Arial"/>
          <w:color w:val="000000"/>
          <w:spacing w:val="0"/>
          <w:w w:val="100"/>
          <w:sz w:val="24"/>
          <w:vertAlign w:val="baseline"/>
          <w:lang w:val="en-US"/>
        </w:rPr>
        <w:t xml:space="preserve"> The statutory definition has been amplified in accord with case law (</w:t>
      </w:r>
      <w:r>
        <w:rPr>
          <w:rFonts w:ascii="Arial" w:hAnsi="Arial" w:eastAsia="Arial"/>
          <w:i w:val="true"/>
          <w:color w:val="000000"/>
          <w:spacing w:val="0"/>
          <w:w w:val="100"/>
          <w:sz w:val="24"/>
          <w:vertAlign w:val="baseline"/>
          <w:lang w:val="en-US"/>
        </w:rPr>
        <w:t xml:space="preserve">see </w:t>
      </w:r>
      <w:r>
        <w:rPr>
          <w:rFonts w:ascii="Arial" w:hAnsi="Arial" w:eastAsia="Arial"/>
          <w:color w:val="000000"/>
          <w:spacing w:val="0"/>
          <w:w w:val="100"/>
          <w:sz w:val="24"/>
          <w:vertAlign w:val="baseline"/>
          <w:lang w:val="en-US"/>
        </w:rPr>
        <w:t xml:space="preserve">Penal Law § 130.00 [1]; </w:t>
      </w:r>
      <w:r>
        <w:rPr>
          <w:rFonts w:ascii="Arial" w:hAnsi="Arial" w:eastAsia="Arial"/>
          <w:i w:val="true"/>
          <w:color w:val="000000"/>
          <w:spacing w:val="0"/>
          <w:w w:val="100"/>
          <w:sz w:val="24"/>
          <w:vertAlign w:val="baseline"/>
          <w:lang w:val="en-US"/>
        </w:rPr>
        <w:t xml:space="preserve">People v Liberta</w:t>
      </w:r>
      <w:r>
        <w:rPr>
          <w:rFonts w:ascii="Arial" w:hAnsi="Arial" w:eastAsia="Arial"/>
          <w:color w:val="000000"/>
          <w:spacing w:val="0"/>
          <w:w w:val="100"/>
          <w:sz w:val="24"/>
          <w:vertAlign w:val="baseline"/>
          <w:lang w:val="en-US"/>
        </w:rPr>
        <w:t xml:space="preserve">, 64 NY2d 152, 169 [1984]; </w:t>
      </w:r>
      <w:r>
        <w:rPr>
          <w:rFonts w:ascii="Arial" w:hAnsi="Arial" w:eastAsia="Arial"/>
          <w:i w:val="true"/>
          <w:color w:val="000000"/>
          <w:spacing w:val="0"/>
          <w:w w:val="100"/>
          <w:sz w:val="24"/>
          <w:vertAlign w:val="baseline"/>
          <w:lang w:val="en-US"/>
        </w:rPr>
        <w:t xml:space="preserve">People v Williams</w:t>
      </w:r>
      <w:r>
        <w:rPr>
          <w:rFonts w:ascii="Arial" w:hAnsi="Arial" w:eastAsia="Arial"/>
          <w:color w:val="000000"/>
          <w:spacing w:val="0"/>
          <w:w w:val="100"/>
          <w:sz w:val="24"/>
          <w:vertAlign w:val="baseline"/>
          <w:lang w:val="en-US"/>
        </w:rPr>
        <w:t xml:space="preserve">, 259 AD2d 509 [2d Dept 1999]; </w:t>
      </w:r>
      <w:r>
        <w:rPr>
          <w:rFonts w:ascii="Arial" w:hAnsi="Arial" w:eastAsia="Arial"/>
          <w:i w:val="true"/>
          <w:color w:val="000000"/>
          <w:spacing w:val="0"/>
          <w:w w:val="100"/>
          <w:sz w:val="24"/>
          <w:vertAlign w:val="baseline"/>
          <w:lang w:val="en-US"/>
        </w:rPr>
        <w:t xml:space="preserve">People v White</w:t>
      </w:r>
      <w:r>
        <w:rPr>
          <w:rFonts w:ascii="Arial" w:hAnsi="Arial" w:eastAsia="Arial"/>
          <w:color w:val="000000"/>
          <w:spacing w:val="0"/>
          <w:w w:val="100"/>
          <w:sz w:val="24"/>
          <w:vertAlign w:val="baseline"/>
          <w:lang w:val="en-US"/>
        </w:rPr>
        <w:t xml:space="preserve">, 185 AD2d 472 [3d Dept 1992]; </w:t>
      </w:r>
      <w:r>
        <w:rPr>
          <w:rFonts w:ascii="Arial" w:hAnsi="Arial" w:eastAsia="Arial"/>
          <w:i w:val="true"/>
          <w:color w:val="000000"/>
          <w:spacing w:val="0"/>
          <w:w w:val="100"/>
          <w:sz w:val="24"/>
          <w:vertAlign w:val="baseline"/>
          <w:lang w:val="en-US"/>
        </w:rPr>
        <w:t xml:space="preserve">People v Berardicurti, </w:t>
      </w:r>
      <w:r>
        <w:rPr>
          <w:rFonts w:ascii="Arial" w:hAnsi="Arial" w:eastAsia="Arial"/>
          <w:color w:val="000000"/>
          <w:spacing w:val="0"/>
          <w:w w:val="100"/>
          <w:sz w:val="24"/>
          <w:vertAlign w:val="baseline"/>
          <w:lang w:val="en-US"/>
        </w:rPr>
        <w:t xml:space="preserve">167 AD2d 840 [4th Dept 1990]; </w:t>
      </w:r>
      <w:r>
        <w:rPr>
          <w:rFonts w:ascii="Arial" w:hAnsi="Arial" w:eastAsia="Arial"/>
          <w:i w:val="true"/>
          <w:color w:val="000000"/>
          <w:spacing w:val="0"/>
          <w:w w:val="100"/>
          <w:sz w:val="24"/>
          <w:vertAlign w:val="baseline"/>
          <w:lang w:val="en-US"/>
        </w:rPr>
        <w:t xml:space="preserve">People v Edwards, </w:t>
      </w:r>
      <w:r>
        <w:rPr>
          <w:rFonts w:ascii="Arial" w:hAnsi="Arial" w:eastAsia="Arial"/>
          <w:color w:val="000000"/>
          <w:spacing w:val="0"/>
          <w:w w:val="100"/>
          <w:sz w:val="24"/>
          <w:vertAlign w:val="baseline"/>
          <w:lang w:val="en-US"/>
        </w:rPr>
        <w:t xml:space="preserve">173 AD 375 [2d Dept 1916]).</w:t>
      </w:r>
    </w:p>
    <w:p>
      <w:pPr>
        <w:pageBreakBefore w:val="false"/>
        <w:spacing w:before="245" w:after="0" w:line="227" w:lineRule="exact"/>
        <w:ind w:right="0" w:left="0" w:firstLine="0"/>
        <w:jc w:val="center"/>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2</w:t>
      </w:r>
    </w:p>
    <w:p>
      <w:pPr>
        <w:sectPr>
          <w:type w:val="nextPage"/>
          <w:pgSz w:w="12240" w:h="15840" w:orient="portrait"/>
          <w:pgMar w:bottom="1024" w:top="1440" w:right="2140" w:left="2160" w:header="720" w:footer="720"/>
          <w:titlePg w:val="false"/>
          <w:textDirection w:val="lrTb"/>
        </w:sectPr>
      </w:pPr>
    </w:p>
    <w:p>
      <w:pPr>
        <w:pageBreakBefore w:val="false"/>
        <w:tabs>
          <w:tab w:val="left" w:leader="none" w:pos="1440"/>
        </w:tabs>
        <w:spacing w:before="3" w:after="0" w:line="327" w:lineRule="exact"/>
        <w:ind w:right="0" w:left="1440" w:hanging="720"/>
        <w:jc w:val="both"/>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4.	</w:t>
      </w:r>
      <w:r>
        <w:rPr>
          <w:rFonts w:ascii="Arial" w:hAnsi="Arial" w:eastAsia="Arial"/>
          <w:color w:val="000000"/>
          <w:spacing w:val="0"/>
          <w:w w:val="100"/>
          <w:sz w:val="28"/>
          <w:vertAlign w:val="baseline"/>
          <w:lang w:val="en-US"/>
        </w:rPr>
        <w:t xml:space="preserve">That the defendant was not married to </w:t>
      </w:r>
      <w:r>
        <w:rPr>
          <w:rFonts w:ascii="Arial" w:hAnsi="Arial" w:eastAsia="Arial"/>
          <w:i w:val="true"/>
          <w:color w:val="000000"/>
          <w:spacing w:val="0"/>
          <w:w w:val="100"/>
          <w:sz w:val="28"/>
          <w:u w:val="single"/>
          <w:vertAlign w:val="baseline"/>
          <w:lang w:val="en-US"/>
        </w:rPr>
        <w:t xml:space="preserve">(name of complainant</w:t>
      </w:r>
      <w:r>
        <w:rPr>
          <w:rFonts w:ascii="Arial" w:hAnsi="Arial" w:eastAsia="Arial"/>
          <w:color w:val="000000"/>
          <w:spacing w:val="0"/>
          <w:w w:val="100"/>
          <w:sz w:val="28"/>
          <w:u w:val="single"/>
          <w:vertAlign w:val="baseline"/>
          <w:lang w:val="en-US"/>
        </w:rPr>
        <w:t xml:space="preserve">)</w:t>
      </w:r>
      <w:r>
        <w:rPr>
          <w:rFonts w:ascii="Arial" w:hAnsi="Arial" w:eastAsia="Arial"/>
          <w:color w:val="000000"/>
          <w:spacing w:val="0"/>
          <w:w w:val="100"/>
          <w:sz w:val="28"/>
          <w:vertAlign w:val="baseline"/>
          <w:lang w:val="en-US"/>
        </w:rPr>
        <w:t xml:space="preserve">.]</w:t>
      </w:r>
      <w:r>
        <w:rPr>
          <w:rFonts w:ascii="Arial" w:hAnsi="Arial" w:eastAsia="Arial"/>
          <w:color w:val="000000"/>
          <w:spacing w:val="0"/>
          <w:w w:val="100"/>
          <w:sz w:val="28"/>
          <w:u w:val="single"/>
          <w:vertAlign w:val="baseline"/>
          <w:lang w:val="en-US"/>
        </w:rPr>
        <w:t xml:space="preserve">
</w:t>
      </w:r>
    </w:p>
    <w:p>
      <w:pPr>
        <w:pageBreakBefore w:val="false"/>
        <w:spacing w:before="324" w:after="0" w:line="321" w:lineRule="exact"/>
        <w:ind w:right="0" w:left="0" w:firstLine="720"/>
        <w:jc w:val="both"/>
        <w:textAlignment w:val="baseline"/>
        <w:rPr>
          <w:rFonts w:ascii="Arial" w:hAnsi="Arial" w:eastAsia="Arial"/>
          <w:i w:val="true"/>
          <w:color w:val="000000"/>
          <w:spacing w:val="0"/>
          <w:w w:val="100"/>
          <w:sz w:val="28"/>
          <w:vertAlign w:val="baseline"/>
          <w:lang w:val="en-US"/>
        </w:rPr>
      </w:pPr>
      <w:r>
        <w:rPr>
          <w:rFonts w:ascii="Arial" w:hAnsi="Arial" w:eastAsia="Arial"/>
          <w:i w:val="true"/>
          <w:color w:val="000000"/>
          <w:spacing w:val="0"/>
          <w:w w:val="100"/>
          <w:sz w:val="28"/>
          <w:vertAlign w:val="baseline"/>
          <w:lang w:val="en-US"/>
        </w:rPr>
        <w:t xml:space="preserve">[NOTE: If the affirmative defense of Penal Law § 130.30 does not apply conclude as follows:</w:t>
      </w:r>
    </w:p>
    <w:p>
      <w:pPr>
        <w:pageBreakBefore w:val="false"/>
        <w:spacing w:before="317" w:after="0" w:line="326" w:lineRule="exact"/>
        <w:ind w:right="0" w:left="0" w:firstLine="720"/>
        <w:jc w:val="both"/>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If you find the People have proven beyond a reasonable doubt each of those elements, you must find the defendant guilty of this crime.</w:t>
      </w:r>
    </w:p>
    <w:p>
      <w:pPr>
        <w:pageBreakBefore w:val="false"/>
        <w:spacing w:before="324" w:after="0" w:line="324" w:lineRule="exact"/>
        <w:ind w:right="0" w:left="0" w:firstLine="720"/>
        <w:jc w:val="both"/>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If you find the People have not proven beyond a reasonable doubt any one or more of those elements, you must find the defendant not guilty of this crime.</w:t>
      </w:r>
    </w:p>
    <w:p>
      <w:pPr>
        <w:pageBreakBefore w:val="false"/>
        <w:spacing w:before="329" w:after="0" w:line="321" w:lineRule="exact"/>
        <w:ind w:right="0" w:left="0" w:firstLine="720"/>
        <w:jc w:val="both"/>
        <w:textAlignment w:val="baseline"/>
        <w:rPr>
          <w:rFonts w:ascii="Arial" w:hAnsi="Arial" w:eastAsia="Arial"/>
          <w:i w:val="true"/>
          <w:color w:val="000000"/>
          <w:spacing w:val="0"/>
          <w:w w:val="100"/>
          <w:sz w:val="28"/>
          <w:vertAlign w:val="baseline"/>
          <w:lang w:val="en-US"/>
        </w:rPr>
      </w:pPr>
      <w:r>
        <w:rPr>
          <w:rFonts w:ascii="Arial" w:hAnsi="Arial" w:eastAsia="Arial"/>
          <w:i w:val="true"/>
          <w:color w:val="000000"/>
          <w:spacing w:val="0"/>
          <w:w w:val="100"/>
          <w:sz w:val="28"/>
          <w:vertAlign w:val="baseline"/>
          <w:lang w:val="en-US"/>
        </w:rPr>
        <w:t xml:space="preserve">[NOTE: If the affirmative defense in Penal Law § 130.30 applies, omit the final two paragraphs of the above charge, and substitute the following:</w:t>
      </w:r>
    </w:p>
    <w:p>
      <w:pPr>
        <w:pageBreakBefore w:val="false"/>
        <w:spacing w:before="319" w:after="0" w:line="324" w:lineRule="exact"/>
        <w:ind w:right="0" w:left="0" w:firstLine="720"/>
        <w:jc w:val="both"/>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If you find that the People have not proven beyond a reasonable doubt any one or more of those elements, you must find the defendant not guilty of the crime of Rape in the Second</w:t>
      </w:r>
    </w:p>
    <w:p>
      <w:pPr>
        <w:pageBreakBefore w:val="false"/>
        <w:tabs>
          <w:tab w:val="left" w:leader="underscore" w:pos="4536"/>
        </w:tabs>
        <w:spacing w:before="1" w:after="0" w:line="321" w:lineRule="exact"/>
        <w:ind w:right="0" w:left="0" w:firstLine="0"/>
        <w:jc w:val="left"/>
        <w:textAlignment w:val="baseline"/>
        <w:rPr>
          <w:rFonts w:ascii="Arial" w:hAnsi="Arial" w:eastAsia="Arial"/>
          <w:color w:val="000000"/>
          <w:spacing w:val="-1"/>
          <w:w w:val="100"/>
          <w:sz w:val="28"/>
          <w:vertAlign w:val="baseline"/>
          <w:lang w:val="en-US"/>
        </w:rPr>
      </w:pPr>
      <w:r>
        <w:rPr>
          <w:rFonts w:ascii="Arial" w:hAnsi="Arial" w:eastAsia="Arial"/>
          <w:color w:val="000000"/>
          <w:spacing w:val="-1"/>
          <w:w w:val="100"/>
          <w:sz w:val="28"/>
          <w:vertAlign w:val="baseline"/>
          <w:lang w:val="en-US"/>
        </w:rPr>
        <w:t xml:space="preserve">Degree as charged in the	</w:t>
      </w:r>
      <w:r>
        <w:rPr>
          <w:rFonts w:ascii="Arial" w:hAnsi="Arial" w:eastAsia="Arial"/>
          <w:color w:val="000000"/>
          <w:spacing w:val="-1"/>
          <w:w w:val="100"/>
          <w:sz w:val="28"/>
          <w:vertAlign w:val="baseline"/>
          <w:lang w:val="en-US"/>
        </w:rPr>
        <w:t xml:space="preserve">count</w:t>
      </w:r>
      <w:r>
        <w:rPr>
          <w:rFonts w:ascii="Arial" w:hAnsi="Arial" w:eastAsia="Arial"/>
          <w:i w:val="true"/>
          <w:color w:val="000000"/>
          <w:spacing w:val="-1"/>
          <w:w w:val="100"/>
          <w:sz w:val="28"/>
          <w:vertAlign w:val="baseline"/>
          <w:lang w:val="en-US"/>
        </w:rPr>
        <w:t xml:space="preserve">.</w:t>
      </w:r>
    </w:p>
    <w:p>
      <w:pPr>
        <w:pageBreakBefore w:val="false"/>
        <w:spacing w:before="326" w:after="0" w:line="324" w:lineRule="exact"/>
        <w:ind w:right="0" w:left="0" w:firstLine="720"/>
        <w:jc w:val="both"/>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On the other hand, if you find that the People have proven beyond a reasonable doubt each of those elements, you must consider an affirmative defense the defendant has raised. Remember, if you have already found the defendant not guilty of Rape in the Second Degree you will not consider the affirmative defense.</w:t>
      </w:r>
    </w:p>
    <w:p>
      <w:pPr>
        <w:pageBreakBefore w:val="false"/>
        <w:spacing w:before="324" w:after="0" w:line="324" w:lineRule="exact"/>
        <w:ind w:right="0" w:left="0" w:firstLine="720"/>
        <w:jc w:val="both"/>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Under our law, it is an affirmative defense to a prosecution for this crime that the defendant was less than four (4) years older than the complainant at the time of the act.</w:t>
      </w:r>
    </w:p>
    <w:p>
      <w:pPr>
        <w:pageBreakBefore w:val="false"/>
        <w:spacing w:before="322" w:after="0" w:line="326" w:lineRule="exact"/>
        <w:ind w:right="0" w:left="0" w:firstLine="720"/>
        <w:jc w:val="both"/>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Under our law, the defendant has the burden of proving an affirmative defense by a preponderance of the evidence.</w:t>
      </w:r>
    </w:p>
    <w:p>
      <w:pPr>
        <w:pageBreakBefore w:val="false"/>
        <w:spacing w:before="325" w:after="427" w:line="318" w:lineRule="exact"/>
        <w:ind w:right="0" w:left="720" w:firstLine="0"/>
        <w:jc w:val="both"/>
        <w:textAlignment w:val="baseline"/>
        <w:rPr>
          <w:rFonts w:ascii="Arial" w:hAnsi="Arial" w:eastAsia="Arial"/>
          <w:color w:val="000000"/>
          <w:spacing w:val="10"/>
          <w:w w:val="100"/>
          <w:sz w:val="28"/>
          <w:vertAlign w:val="baseline"/>
          <w:lang w:val="en-US"/>
        </w:rPr>
      </w:pPr>
      <w:r>
        <w:rPr>
          <w:rFonts w:ascii="Arial" w:hAnsi="Arial" w:eastAsia="Arial"/>
          <w:color w:val="000000"/>
          <w:spacing w:val="10"/>
          <w:w w:val="100"/>
          <w:sz w:val="28"/>
          <w:vertAlign w:val="baseline"/>
          <w:lang w:val="en-US"/>
        </w:rPr>
        <w:t xml:space="preserve">In determining whether the defendant has proven the</w:t>
      </w:r>
    </w:p>
    <w:p>
      <w:pPr>
        <w:spacing w:before="325" w:after="427" w:line="318" w:lineRule="exact"/>
        <w:sectPr>
          <w:type w:val="nextPage"/>
          <w:pgSz w:w="12240" w:h="15840" w:orient="portrait"/>
          <w:pgMar w:bottom="1024" w:top="1440" w:right="2113" w:left="2151" w:header="720" w:footer="720"/>
          <w:titlePg w:val="false"/>
          <w:textDirection w:val="lrTb"/>
        </w:sectPr>
      </w:pPr>
    </w:p>
    <w:p>
      <w:pPr>
        <w:pageBreakBefore w:val="false"/>
        <w:spacing w:before="1" w:after="0" w:line="229" w:lineRule="exact"/>
        <w:ind w:right="0" w:left="0" w:firstLine="0"/>
        <w:jc w:val="center"/>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3</w:t>
      </w:r>
    </w:p>
    <w:p>
      <w:pPr>
        <w:sectPr>
          <w:type w:val="continuous"/>
          <w:pgSz w:w="12240" w:h="15840" w:orient="portrait"/>
          <w:pgMar w:bottom="1024" w:top="1440" w:right="2150" w:left="2150" w:header="720" w:footer="720"/>
          <w:titlePg w:val="false"/>
          <w:textDirection w:val="lrTb"/>
        </w:sectPr>
      </w:pPr>
    </w:p>
    <w:p>
      <w:pPr>
        <w:pageBreakBefore w:val="false"/>
        <w:spacing w:before="3" w:after="0" w:line="325" w:lineRule="exact"/>
        <w:ind w:right="0" w:left="0" w:firstLine="0"/>
        <w:jc w:val="both"/>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affirmative defense by a preponderance of the evidence, you may consider the evidence presented by the People or by the defendant.</w:t>
      </w:r>
    </w:p>
    <w:p>
      <w:pPr>
        <w:pageBreakBefore w:val="false"/>
        <w:spacing w:before="314" w:after="0" w:line="325" w:lineRule="exact"/>
        <w:ind w:right="0" w:left="0" w:firstLine="720"/>
        <w:jc w:val="both"/>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A preponderance of the evidence means the greater part of the believable and reliable evidence, not in terms of the number of witnesses or the length of time taken to present the evidence, but in terms of its quality and the weight and the convincing effect it has. For the affirmative defense to be proved by a preponderance of the evidence, the evidence that supports the affirmative defense must be of such convincing quality as to outweigh any evidence to the contrary.</w:t>
      </w:r>
    </w:p>
    <w:p>
      <w:pPr>
        <w:pageBreakBefore w:val="false"/>
        <w:spacing w:before="319" w:after="0" w:line="325" w:lineRule="exact"/>
        <w:ind w:right="0" w:left="0" w:firstLine="720"/>
        <w:jc w:val="both"/>
        <w:textAlignment w:val="baseline"/>
        <w:rPr>
          <w:rFonts w:ascii="Arial" w:hAnsi="Arial" w:eastAsia="Arial"/>
          <w:color w:val="000000"/>
          <w:spacing w:val="-4"/>
          <w:w w:val="100"/>
          <w:sz w:val="28"/>
          <w:vertAlign w:val="baseline"/>
          <w:lang w:val="en-US"/>
        </w:rPr>
      </w:pPr>
      <w:r>
        <w:rPr>
          <w:rFonts w:ascii="Arial" w:hAnsi="Arial" w:eastAsia="Arial"/>
          <w:color w:val="000000"/>
          <w:spacing w:val="-4"/>
          <w:w w:val="100"/>
          <w:sz w:val="28"/>
          <w:vertAlign w:val="baseline"/>
          <w:lang w:val="en-US"/>
        </w:rPr>
        <w:t xml:space="preserve">Therefore, if you find that the defendant has not proven the affirmative defense by a preponderance of the evidence, then, based upon your initial determination that the People have proven beyond a reasonable doubt the elements of Rape in the Second degree, you must find the defendant guilty of that crime as</w:t>
      </w:r>
    </w:p>
    <w:p>
      <w:pPr>
        <w:pageBreakBefore w:val="false"/>
        <w:tabs>
          <w:tab w:val="left" w:leader="underscore" w:pos="2880"/>
        </w:tabs>
        <w:spacing w:before="0" w:after="0" w:line="321" w:lineRule="exact"/>
        <w:ind w:right="0" w:left="0" w:firstLine="0"/>
        <w:jc w:val="left"/>
        <w:textAlignment w:val="baseline"/>
        <w:rPr>
          <w:rFonts w:ascii="Arial" w:hAnsi="Arial" w:eastAsia="Arial"/>
          <w:color w:val="000000"/>
          <w:spacing w:val="-1"/>
          <w:w w:val="100"/>
          <w:sz w:val="28"/>
          <w:vertAlign w:val="baseline"/>
          <w:lang w:val="en-US"/>
        </w:rPr>
      </w:pPr>
      <w:r>
        <w:rPr>
          <w:rFonts w:ascii="Arial" w:hAnsi="Arial" w:eastAsia="Arial"/>
          <w:color w:val="000000"/>
          <w:spacing w:val="-1"/>
          <w:w w:val="100"/>
          <w:sz w:val="28"/>
          <w:vertAlign w:val="baseline"/>
          <w:lang w:val="en-US"/>
        </w:rPr>
        <w:t xml:space="preserve">charged in the	</w:t>
      </w:r>
      <w:r>
        <w:rPr>
          <w:rFonts w:ascii="Arial" w:hAnsi="Arial" w:eastAsia="Arial"/>
          <w:color w:val="000000"/>
          <w:spacing w:val="-1"/>
          <w:w w:val="100"/>
          <w:sz w:val="28"/>
          <w:vertAlign w:val="baseline"/>
          <w:lang w:val="en-US"/>
        </w:rPr>
        <w:t xml:space="preserve">count.</w:t>
      </w:r>
    </w:p>
    <w:p>
      <w:pPr>
        <w:pageBreakBefore w:val="false"/>
        <w:spacing w:before="326" w:after="0" w:line="325" w:lineRule="exact"/>
        <w:ind w:right="0" w:left="0" w:firstLine="720"/>
        <w:jc w:val="both"/>
        <w:textAlignment w:val="baseline"/>
        <w:rPr>
          <w:rFonts w:ascii="Arial" w:hAnsi="Arial" w:eastAsia="Arial"/>
          <w:color w:val="000000"/>
          <w:spacing w:val="-4"/>
          <w:w w:val="100"/>
          <w:sz w:val="28"/>
          <w:vertAlign w:val="baseline"/>
          <w:lang w:val="en-US"/>
        </w:rPr>
      </w:pPr>
      <w:r>
        <w:rPr>
          <w:rFonts w:ascii="Arial" w:hAnsi="Arial" w:eastAsia="Arial"/>
          <w:color w:val="000000"/>
          <w:spacing w:val="-4"/>
          <w:w w:val="100"/>
          <w:sz w:val="28"/>
          <w:vertAlign w:val="baseline"/>
          <w:lang w:val="en-US"/>
        </w:rPr>
        <w:t xml:space="preserve">On the other hand, if you find that the defendant has proven the affirmative defense by a preponderance of the evidence, then you must find the defendant not guilty of Rape in the Second</w:t>
      </w:r>
    </w:p>
    <w:p>
      <w:pPr>
        <w:pageBreakBefore w:val="false"/>
        <w:tabs>
          <w:tab w:val="left" w:leader="underscore" w:pos="4248"/>
        </w:tabs>
        <w:spacing w:before="0" w:after="4949" w:line="322" w:lineRule="exact"/>
        <w:ind w:right="0" w:left="0" w:firstLine="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Degree as charged in the	</w:t>
      </w:r>
      <w:r>
        <w:rPr>
          <w:rFonts w:ascii="Arial" w:hAnsi="Arial" w:eastAsia="Arial"/>
          <w:color w:val="000000"/>
          <w:spacing w:val="0"/>
          <w:w w:val="100"/>
          <w:sz w:val="28"/>
          <w:vertAlign w:val="baseline"/>
          <w:lang w:val="en-US"/>
        </w:rPr>
        <w:t xml:space="preserve">count.]</w:t>
      </w:r>
    </w:p>
    <w:p>
      <w:pPr>
        <w:spacing w:before="0" w:after="4949" w:line="322" w:lineRule="exact"/>
        <w:sectPr>
          <w:type w:val="nextPage"/>
          <w:pgSz w:w="12240" w:h="15840" w:orient="portrait"/>
          <w:pgMar w:bottom="1024" w:top="1440" w:right="2140" w:left="2148" w:header="720" w:footer="720"/>
          <w:titlePg w:val="false"/>
          <w:textDirection w:val="lrTb"/>
        </w:sectPr>
      </w:pPr>
    </w:p>
    <w:p>
      <w:pPr>
        <w:pageBreakBefore w:val="false"/>
        <w:spacing w:before="1" w:after="0" w:line="229" w:lineRule="exact"/>
        <w:ind w:right="0" w:left="0" w:firstLine="0"/>
        <w:jc w:val="center"/>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4</w:t>
      </w:r>
    </w:p>
    <w:sectPr>
      <w:type w:val="continuous"/>
      <w:pgSz w:w="12240" w:h="15840" w:orient="portrait"/>
      <w:pgMar w:bottom="1024" w:top="1440" w:right="2152" w:left="2148"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1"/>
      <w:numFmt w:val="decimal"/>
      <w:lvlText w:val="%1."/>
      <w:pPr>
        <w:tabs>
          <w:tab w:val="left" w:pos="720"/>
        </w:tabs>
      </w:pPr>
      <w:rPr>
        <w:rFonts w:ascii="Arial" w:hAnsi="Arial" w:eastAsia="Arial"/>
        <w:color w:val="000000"/>
        <w:spacing w:val="0"/>
        <w:w w:val="100"/>
        <w:sz w:val="28"/>
        <w:vertAlign w:val="baseline"/>
        <w:lang w:val="en-US"/>
      </w:rPr>
    </w:lvl>
  </w:abstractNum>
  <w:num w:numId="1">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val="14" w:uri="http://schemas.microsoft.com/office/word" w:name="compatibilityMode"/>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Normal" w:default="1" w:type="paragraph">
    <w:name w:val="Normal"/>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styleId" Type="http://schemas.openxmlformats.org/officeDocument/2006/relationships/styles" Target="styles.xml"/><Relationship Id="settingId" Type="http://schemas.openxmlformats.org/officeDocument/2006/relationships/settings" Target="settings.xml"/></Relationships>
</file>

<file path=docProps/core.xml><?xml version="1.0" encoding="utf-8"?>
<cp:core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