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RAPE IN THE THIRD DEGREE</w:t>
        <w:br/>
      </w:r>
      <w:r>
        <w:rPr>
          <w:rFonts w:ascii="Arial" w:hAnsi="Arial" w:eastAsia="Arial"/>
          <w:b w:val="true"/>
          <w:color w:val="000000"/>
          <w:spacing w:val="0"/>
          <w:w w:val="100"/>
          <w:sz w:val="28"/>
          <w:vertAlign w:val="baseline"/>
          <w:lang w:val="en-US"/>
        </w:rPr>
        <w:t xml:space="preserve">(Lack of Consent - Totality of Circumstances)</w:t>
        <w:br/>
      </w:r>
      <w:r>
        <w:rPr>
          <w:rFonts w:ascii="Arial" w:hAnsi="Arial" w:eastAsia="Arial"/>
          <w:b w:val="true"/>
          <w:color w:val="000000"/>
          <w:spacing w:val="0"/>
          <w:w w:val="100"/>
          <w:sz w:val="28"/>
          <w:vertAlign w:val="baseline"/>
          <w:lang w:val="en-US"/>
        </w:rPr>
        <w:t xml:space="preserve">Penal Law § 130.25(3)</w:t>
        <w:br/>
      </w:r>
      <w:r>
        <w:rPr>
          <w:rFonts w:ascii="Arial" w:hAnsi="Arial" w:eastAsia="Arial"/>
          <w:b w:val="true"/>
          <w:color w:val="000000"/>
          <w:spacing w:val="0"/>
          <w:w w:val="100"/>
          <w:sz w:val="28"/>
          <w:vertAlign w:val="baseline"/>
          <w:lang w:val="en-US"/>
        </w:rPr>
        <w:t xml:space="preserve">(Committed on or after February 1, 2001)</w:t>
      </w:r>
    </w:p>
    <w:p>
      <w:pPr>
        <w:pageBreakBefore w:val="false"/>
        <w:spacing w:before="323" w:after="0" w:line="324"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Rape in the Third Degree.</w:t>
      </w:r>
    </w:p>
    <w:p>
      <w:pPr>
        <w:pageBreakBefore w:val="false"/>
        <w:spacing w:before="31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Rape in the Third Degree, when he or she engages in sexual intercourse with another person without such person's consent.</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30"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17"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SEXUAL INTERCOURSE means any penetration, however slight, of the penis into the vaginal opening. In other words, any penetration of the penis into the vaginal opening, regardless of the distance of penetration, constitutes an act of sexual intercourse. Sexual intercourse does not necessarily require erection of the penis, emission, or orgasm. </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28" w:after="773"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engages in sexual intercourse with another person WITHOUT SUCH PERSON'S CONSENT when there is a lack of consent to the act.</w:t>
      </w:r>
    </w:p>
    <w:p>
      <w:pPr>
        <w:pageBreakBefore w:val="false"/>
        <w:spacing w:before="261" w:after="0" w:line="276" w:lineRule="exact"/>
        <w:ind w:right="0" w:left="0" w:firstLine="0"/>
        <w:jc w:val="both"/>
        <w:textAlignment w:val="baseline"/>
        <w:rPr>
          <w:rFonts w:ascii="Arial" w:hAnsi="Arial" w:eastAsia="Arial"/>
          <w:color w:val="000000"/>
          <w:spacing w:val="0"/>
          <w:w w:val="100"/>
          <w:sz w:val="14"/>
          <w:vertAlign w:val="superscript"/>
          <w:lang w:val="en-US"/>
        </w:rPr>
      </w:pPr>
      <w:r>
        <w:pict>
          <v:line strokeweight="1.2pt" strokecolor="#000000" from="108pt,502.1pt" to="252.05pt,502.1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At this point, the statutory definition continues: “where such lack of consent is by reason of some factor other than incapacity to consent.” There are two such factors, forcible compulsion [Penal Law § 130.05(2) (a)] and the conduct set forth in Penal Law §130.05(2)(d). The conduct set forth in Penal Law §130.05(2)(d) is the focus of this charge and that factor is set forth in the definition of the term “without such person's consent.” If a “forcible compulsion” charge is required, adapt the charge provided for rape in the first degree by forcible compulsion.</w:t>
      </w:r>
    </w:p>
    <w:p>
      <w:pPr>
        <w:pageBreakBefore w:val="false"/>
        <w:spacing w:before="247" w:after="0" w:line="276"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The statutory definition has been amplified in accord with case law.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130.00(1) and </w:t>
      </w:r>
      <w:r>
        <w:rPr>
          <w:rFonts w:ascii="Arial" w:hAnsi="Arial" w:eastAsia="Arial"/>
          <w:i w:val="true"/>
          <w:color w:val="000000"/>
          <w:spacing w:val="0"/>
          <w:w w:val="100"/>
          <w:sz w:val="24"/>
          <w:vertAlign w:val="baseline"/>
          <w:lang w:val="en-US"/>
        </w:rPr>
        <w:t xml:space="preserve">People v Liberta</w:t>
      </w:r>
      <w:r>
        <w:rPr>
          <w:rFonts w:ascii="Arial" w:hAnsi="Arial" w:eastAsia="Arial"/>
          <w:color w:val="000000"/>
          <w:spacing w:val="0"/>
          <w:w w:val="100"/>
          <w:sz w:val="24"/>
          <w:vertAlign w:val="baseline"/>
          <w:lang w:val="en-US"/>
        </w:rPr>
        <w:t xml:space="preserve">, 64 NY2d 152, 169 (1984); </w:t>
      </w:r>
      <w:r>
        <w:rPr>
          <w:rFonts w:ascii="Arial" w:hAnsi="Arial" w:eastAsia="Arial"/>
          <w:i w:val="true"/>
          <w:color w:val="000000"/>
          <w:spacing w:val="0"/>
          <w:w w:val="100"/>
          <w:sz w:val="24"/>
          <w:vertAlign w:val="baseline"/>
          <w:lang w:val="en-US"/>
        </w:rPr>
        <w:t xml:space="preserve">People v. Edwards, </w:t>
      </w:r>
      <w:r>
        <w:rPr>
          <w:rFonts w:ascii="Arial" w:hAnsi="Arial" w:eastAsia="Arial"/>
          <w:color w:val="000000"/>
          <w:spacing w:val="0"/>
          <w:w w:val="100"/>
          <w:sz w:val="24"/>
          <w:vertAlign w:val="baseline"/>
          <w:lang w:val="en-US"/>
        </w:rPr>
        <w:t xml:space="preserve">173 A.D. 375 (2d Dept. 1916); People v. Berardicurti, 167 A.D.2d 840 (4</w:t>
      </w:r>
      <w:r>
        <w:rPr>
          <w:rFonts w:ascii="Arial" w:hAnsi="Arial" w:eastAsia="Arial"/>
          <w:color w:val="000000"/>
          <w:spacing w:val="0"/>
          <w:w w:val="100"/>
          <w:sz w:val="24"/>
          <w:vertAlign w:val="superscript"/>
          <w:lang w:val="en-US"/>
        </w:rPr>
        <w:t xml:space="preserve">th</w:t>
      </w:r>
      <w:r>
        <w:rPr>
          <w:rFonts w:ascii="Arial" w:hAnsi="Arial" w:eastAsia="Arial"/>
          <w:color w:val="000000"/>
          <w:spacing w:val="0"/>
          <w:w w:val="100"/>
          <w:sz w:val="24"/>
          <w:vertAlign w:val="baseline"/>
          <w:lang w:val="en-US"/>
        </w:rPr>
        <w:t xml:space="preserve"> Dept. 1990); </w:t>
      </w:r>
      <w:r>
        <w:rPr>
          <w:rFonts w:ascii="Arial" w:hAnsi="Arial" w:eastAsia="Arial"/>
          <w:i w:val="true"/>
          <w:color w:val="000000"/>
          <w:spacing w:val="0"/>
          <w:w w:val="100"/>
          <w:sz w:val="24"/>
          <w:vertAlign w:val="baseline"/>
          <w:lang w:val="en-US"/>
        </w:rPr>
        <w:t xml:space="preserve">People v. White</w:t>
      </w:r>
      <w:r>
        <w:rPr>
          <w:rFonts w:ascii="Arial" w:hAnsi="Arial" w:eastAsia="Arial"/>
          <w:color w:val="000000"/>
          <w:spacing w:val="0"/>
          <w:w w:val="100"/>
          <w:sz w:val="24"/>
          <w:vertAlign w:val="baseline"/>
          <w:lang w:val="en-US"/>
        </w:rPr>
        <w:t xml:space="preserve">, 185 A.D.2d 472 (3</w:t>
      </w:r>
      <w:r>
        <w:rPr>
          <w:rFonts w:ascii="Arial" w:hAnsi="Arial" w:eastAsia="Arial"/>
          <w:color w:val="000000"/>
          <w:spacing w:val="0"/>
          <w:w w:val="100"/>
          <w:sz w:val="24"/>
          <w:vertAlign w:val="superscript"/>
          <w:lang w:val="en-US"/>
        </w:rPr>
        <w:t xml:space="preserve">rd</w:t>
      </w:r>
      <w:r>
        <w:rPr>
          <w:rFonts w:ascii="Arial" w:hAnsi="Arial" w:eastAsia="Arial"/>
          <w:color w:val="000000"/>
          <w:spacing w:val="0"/>
          <w:w w:val="100"/>
          <w:sz w:val="14"/>
          <w:vertAlign w:val="baseline"/>
          <w:lang w:val="en-US"/>
        </w:rPr>
        <w:t xml:space="preserve"> </w:t>
      </w:r>
      <w:r>
        <w:rPr>
          <w:rFonts w:ascii="Arial" w:hAnsi="Arial" w:eastAsia="Arial"/>
          <w:color w:val="000000"/>
          <w:spacing w:val="0"/>
          <w:w w:val="100"/>
          <w:sz w:val="24"/>
          <w:vertAlign w:val="baseline"/>
          <w:lang w:val="en-US"/>
        </w:rPr>
        <w:t xml:space="preserve">Dept. 1992); </w:t>
      </w:r>
      <w:r>
        <w:rPr>
          <w:rFonts w:ascii="Arial" w:hAnsi="Arial" w:eastAsia="Arial"/>
          <w:i w:val="true"/>
          <w:color w:val="000000"/>
          <w:spacing w:val="0"/>
          <w:w w:val="100"/>
          <w:sz w:val="24"/>
          <w:vertAlign w:val="baseline"/>
          <w:lang w:val="en-US"/>
        </w:rPr>
        <w:t xml:space="preserve">People v. Williams</w:t>
      </w:r>
      <w:r>
        <w:rPr>
          <w:rFonts w:ascii="Arial" w:hAnsi="Arial" w:eastAsia="Arial"/>
          <w:color w:val="000000"/>
          <w:spacing w:val="0"/>
          <w:w w:val="100"/>
          <w:sz w:val="24"/>
          <w:vertAlign w:val="baseline"/>
          <w:lang w:val="en-US"/>
        </w:rPr>
        <w:t xml:space="preserve">, 259 A.D.2d 509 (2d Dept. 1999).</w:t>
      </w:r>
    </w:p>
    <w:p>
      <w:pPr>
        <w:sectPr>
          <w:type w:val="nextPage"/>
          <w:pgSz w:w="12240" w:h="15840" w:orient="portrait"/>
          <w:pgMar w:bottom="1304" w:top="1440" w:right="2140" w:left="2160" w:header="720" w:footer="720"/>
          <w:titlePg w:val="false"/>
          <w:textDirection w:val="lrTb"/>
        </w:sectPr>
      </w:pPr>
    </w:p>
    <w:p>
      <w:pPr>
        <w:pageBreakBefore w:val="false"/>
        <w:spacing w:before="2"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Lack of consent results from circumstances under which, at the time of the act of intercourse, the complainant clearly expressed that he or she did not consent to engage in such act, and a reasonable person in the actor’s situation would have understood the complainant's words and acts as an expression of lack of consent to such act under all the circumstances.</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27"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 engaged in sexual intercourse with (</w:t>
      </w:r>
      <w:r>
        <w:rPr>
          <w:rFonts w:ascii="Arial" w:hAnsi="Arial" w:eastAsia="Arial"/>
          <w:i w:val="true"/>
          <w:color w:val="000000"/>
          <w:spacing w:val="0"/>
          <w:w w:val="100"/>
          <w:sz w:val="28"/>
          <w:u w:val="single"/>
          <w:vertAlign w:val="baseline"/>
          <w:lang w:val="en-US"/>
        </w:rPr>
        <w:t xml:space="preserve">complainant’s name</w:t>
      </w:r>
      <w:r>
        <w:rPr>
          <w:rFonts w:ascii="Arial" w:hAnsi="Arial" w:eastAsia="Arial"/>
          <w:color w:val="000000"/>
          <w:spacing w:val="0"/>
          <w:w w:val="100"/>
          <w:sz w:val="28"/>
          <w:vertAlign w:val="baseline"/>
          <w:lang w:val="en-US"/>
        </w:rPr>
        <w:t xml:space="preserve">); and,</w:t>
      </w:r>
    </w:p>
    <w:p>
      <w:pPr>
        <w:pageBreakBefore w:val="false"/>
        <w:numPr>
          <w:ilvl w:val="0"/>
          <w:numId w:val="1"/>
        </w:numPr>
        <w:tabs>
          <w:tab w:val="clear" w:pos="720"/>
          <w:tab w:val="left" w:pos="1440"/>
        </w:tabs>
        <w:spacing w:before="322" w:after="0" w:line="326"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without (</w:t>
      </w:r>
      <w:r>
        <w:rPr>
          <w:rFonts w:ascii="Arial" w:hAnsi="Arial" w:eastAsia="Arial"/>
          <w:i w:val="true"/>
          <w:color w:val="000000"/>
          <w:spacing w:val="0"/>
          <w:w w:val="100"/>
          <w:sz w:val="28"/>
          <w:u w:val="single"/>
          <w:vertAlign w:val="baseline"/>
          <w:lang w:val="en-US"/>
        </w:rPr>
        <w:t xml:space="preserve">complainant’s</w:t>
      </w:r>
      <w:r>
        <w:rPr>
          <w:rFonts w:ascii="Arial" w:hAnsi="Arial" w:eastAsia="Arial"/>
          <w:i w:val="true"/>
          <w:color w:val="000000"/>
          <w:spacing w:val="0"/>
          <w:w w:val="100"/>
          <w:sz w:val="28"/>
          <w:vertAlign w:val="baseline"/>
          <w:lang w:val="en-US"/>
        </w:rPr>
        <w:t xml:space="preserve"> </w:t>
      </w:r>
      <w:r>
        <w:rPr>
          <w:rFonts w:ascii="Arial" w:hAnsi="Arial" w:eastAsia="Arial"/>
          <w:i w:val="true"/>
          <w:color w:val="000000"/>
          <w:spacing w:val="0"/>
          <w:w w:val="100"/>
          <w:sz w:val="28"/>
          <w:u w:val="single"/>
          <w:vertAlign w:val="baseline"/>
          <w:lang w:val="en-US"/>
        </w:rPr>
        <w:t xml:space="preserve">name</w:t>
      </w:r>
      <w:r>
        <w:rPr>
          <w:rFonts w:ascii="Arial" w:hAnsi="Arial" w:eastAsia="Arial"/>
          <w:color w:val="000000"/>
          <w:spacing w:val="0"/>
          <w:w w:val="100"/>
          <w:sz w:val="28"/>
          <w:vertAlign w:val="baseline"/>
          <w:lang w:val="en-US"/>
        </w:rPr>
        <w:t xml:space="preserve">) consent.</w:t>
      </w:r>
    </w:p>
    <w:p>
      <w:pPr>
        <w:pageBreakBefore w:val="false"/>
        <w:spacing w:before="31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33" w:after="3778" w:line="321"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spacing w:before="333" w:after="3778" w:line="321" w:lineRule="exact"/>
        <w:sectPr>
          <w:type w:val="nextPage"/>
          <w:pgSz w:w="12240" w:h="15840" w:orient="portrait"/>
          <w:pgMar w:bottom="1024" w:top="1440" w:right="2140" w:left="2160" w:header="720" w:footer="720"/>
          <w:titlePg w:val="false"/>
          <w:textDirection w:val="lrTb"/>
        </w:sectPr>
      </w:pPr>
    </w:p>
    <w:p>
      <w:pPr>
        <w:pageBreakBefore w:val="false"/>
        <w:spacing w:before="258" w:after="0" w:line="275" w:lineRule="exact"/>
        <w:ind w:right="0" w:left="0" w:firstLine="0"/>
        <w:jc w:val="left"/>
        <w:textAlignment w:val="baseline"/>
        <w:rPr>
          <w:rFonts w:ascii="Arial" w:hAnsi="Arial" w:eastAsia="Arial"/>
          <w:color w:val="000000"/>
          <w:spacing w:val="-4"/>
          <w:w w:val="100"/>
          <w:sz w:val="14"/>
          <w:vertAlign w:val="superscript"/>
          <w:lang w:val="en-US"/>
        </w:rPr>
      </w:pPr>
      <w:r>
        <w:pict>
          <v:shapetype id="_x0000_t1" coordsize="21600,21600" o:spt="202" path="m,l,21600r21600,l21600,xe">
            <v:stroke joinstyle="miter"/>
            <v:path gradientshapeok="t" o:connecttype="rect"/>
          </v:shapetype>
          <v:shape id="_x0000_s0" type="#_x0000_t1" filled="f" stroked="f" style="position:absolute;width:16.35pt;height:14.95pt;z-index:-1000;margin-left:297.7pt;margin-top:705.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286"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txbxContent>
            </v:textbox>
          </v:shape>
        </w:pict>
      </w:r>
      <w:r>
        <w:pict>
          <v:line strokeweight="0.95pt" strokecolor="#000000" from="108pt,667.2pt" to="252.05pt,667.2pt" style="position:absolute;mso-position-horizontal-relative:page;mso-position-vertical-relative:page;">
            <v:stroke dashstyle="solid"/>
          </v:line>
        </w:pict>
      </w:r>
      <w:r>
        <w:rPr>
          <w:rFonts w:ascii="Arial" w:hAnsi="Arial" w:eastAsia="Arial"/>
          <w:color w:val="000000"/>
          <w:spacing w:val="-4"/>
          <w:w w:val="100"/>
          <w:sz w:val="14"/>
          <w:vertAlign w:val="superscript"/>
          <w:lang w:val="en-US"/>
        </w:rPr>
        <w:t xml:space="preserve">3</w:t>
      </w:r>
      <w:r>
        <w:rPr>
          <w:rFonts w:ascii="Arial" w:hAnsi="Arial" w:eastAsia="Arial"/>
          <w:i w:val="true"/>
          <w:color w:val="000000"/>
          <w:spacing w:val="-4"/>
          <w:w w:val="100"/>
          <w:sz w:val="24"/>
          <w:vertAlign w:val="baseline"/>
          <w:lang w:val="en-US"/>
        </w:rPr>
        <w:t xml:space="preserve">See </w:t>
      </w:r>
      <w:r>
        <w:rPr>
          <w:rFonts w:ascii="Arial" w:hAnsi="Arial" w:eastAsia="Arial"/>
          <w:color w:val="000000"/>
          <w:spacing w:val="-4"/>
          <w:w w:val="100"/>
          <w:sz w:val="24"/>
          <w:vertAlign w:val="baseline"/>
          <w:lang w:val="en-US"/>
        </w:rPr>
        <w:t xml:space="preserve">Penal Law §130.05(2)(d).</w:t>
      </w:r>
    </w:p>
    <w:sectPr>
      <w:type w:val="continuous"/>
      <w:pgSz w:w="12240" w:h="15840" w:orient="portrait"/>
      <w:pgMar w:bottom="1024" w:top="1440" w:right="680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