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THIRD DEGREE</w:t>
        <w:br/>
      </w:r>
      <w:r>
        <w:rPr>
          <w:rFonts w:ascii="Arial" w:hAnsi="Arial" w:eastAsia="Arial"/>
          <w:b w:val="true"/>
          <w:color w:val="000000"/>
          <w:spacing w:val="0"/>
          <w:w w:val="100"/>
          <w:sz w:val="28"/>
          <w:vertAlign w:val="baseline"/>
          <w:lang w:val="en-US"/>
        </w:rPr>
        <w:t xml:space="preserve">(Defendant 21 or More;</w:t>
        <w:br/>
      </w:r>
      <w:r>
        <w:rPr>
          <w:rFonts w:ascii="Arial" w:hAnsi="Arial" w:eastAsia="Arial"/>
          <w:b w:val="true"/>
          <w:color w:val="000000"/>
          <w:spacing w:val="0"/>
          <w:w w:val="100"/>
          <w:sz w:val="28"/>
          <w:vertAlign w:val="baseline"/>
          <w:lang w:val="en-US"/>
        </w:rPr>
        <w:t xml:space="preserve">Complainant Less than 17)</w:t>
        <w:br/>
      </w:r>
      <w:r>
        <w:rPr>
          <w:rFonts w:ascii="Arial" w:hAnsi="Arial" w:eastAsia="Arial"/>
          <w:b w:val="true"/>
          <w:color w:val="000000"/>
          <w:spacing w:val="0"/>
          <w:w w:val="100"/>
          <w:sz w:val="28"/>
          <w:vertAlign w:val="baseline"/>
          <w:lang w:val="en-US"/>
        </w:rPr>
        <w:t xml:space="preserve">Penal Law § 130.25 (2)</w:t>
        <w:br/>
      </w:r>
      <w:r>
        <w:rPr>
          <w:rFonts w:ascii="Arial" w:hAnsi="Arial" w:eastAsia="Arial"/>
          <w:b w:val="true"/>
          <w:color w:val="000000"/>
          <w:spacing w:val="0"/>
          <w:w w:val="100"/>
          <w:sz w:val="28"/>
          <w:vertAlign w:val="baseline"/>
          <w:lang w:val="en-US"/>
        </w:rPr>
        <w:t xml:space="preserve">(Committed on or after Nov. 1, 2003)</w:t>
      </w:r>
    </w:p>
    <w:p>
      <w:pPr>
        <w:pageBreakBefore w:val="false"/>
        <w:spacing w:before="330"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Third Degree.</w:t>
      </w:r>
    </w:p>
    <w:p>
      <w:pPr>
        <w:pageBreakBefore w:val="false"/>
        <w:spacing w:before="32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Third Degree, when being twenty-one (21) years old or more, he or she engages in sexual intercourse with another person less than seventeen (17) years old.</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also an element of this offense that the sexual intercourse was committed without the consent of that 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 less than seventeen (17) years old.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the law deems sexual intercourse with such a person to be without that person's consent, even if in fact that person did consent.</w:t>
      </w:r>
    </w:p>
    <w:p>
      <w:pPr>
        <w:pageBreakBefore w:val="false"/>
        <w:spacing w:before="332" w:after="0" w:line="321" w:lineRule="exact"/>
        <w:ind w:right="0" w:left="0" w:firstLine="72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It is not a defense to this charge that the actor did not know that the person with whom the actor had sexual intercourse was less than seventeen (17) years old, or that the actor believed that such person was seventeen (17) years old or more on the date of the crime.</w:t>
      </w:r>
      <w:r>
        <w:rPr>
          <w:rFonts w:ascii="Arial" w:hAnsi="Arial" w:eastAsia="Arial"/>
          <w:color w:val="000000"/>
          <w:spacing w:val="-6"/>
          <w:w w:val="100"/>
          <w:sz w:val="28"/>
          <w:vertAlign w:val="superscript"/>
          <w:lang w:val="en-US"/>
        </w:rPr>
        <w:t xml:space="preserve">3</w:t>
      </w:r>
      <w:r>
        <w:rPr>
          <w:rFonts w:ascii="Arial" w:hAnsi="Arial" w:eastAsia="Arial"/>
          <w:color w:val="000000"/>
          <w:spacing w:val="-6"/>
          <w:w w:val="100"/>
          <w:sz w:val="17"/>
          <w:vertAlign w:val="baseline"/>
          <w:lang w:val="en-US"/>
        </w:rPr>
        <w:t xml:space="preserve">
</w:t>
      </w:r>
    </w:p>
    <w:p>
      <w:pPr>
        <w:pageBreakBefore w:val="false"/>
        <w:spacing w:before="337"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spacing w:before="335" w:after="979" w:line="318" w:lineRule="exact"/>
        <w:ind w:right="0" w:left="0" w:firstLine="0"/>
        <w:jc w:val="righ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a defense to this charge that the defendant was</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130.05 (3) (a).</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sectPr>
          <w:type w:val="nextPage"/>
          <w:pgSz w:w="12240" w:h="15840" w:orient="portrait"/>
          <w:pgMar w:bottom="1004" w:top="1440" w:right="2140" w:left="2160" w:header="720" w:footer="720"/>
          <w:titlePg w:val="false"/>
          <w:textDirection w:val="lrTb"/>
        </w:sectPr>
      </w:pPr>
    </w:p>
    <w:p>
      <w:pPr>
        <w:pageBreakBefore w:val="false"/>
        <w:spacing w:before="41"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married to the victim.</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6"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325"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4"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twenty-one (21) years old or more; [and]</w:t>
      </w:r>
    </w:p>
    <w:p>
      <w:pPr>
        <w:pageBreakBefore w:val="false"/>
        <w:numPr>
          <w:ilvl w:val="0"/>
          <w:numId w:val="1"/>
        </w:numPr>
        <w:tabs>
          <w:tab w:val="clear" w:pos="720"/>
          <w:tab w:val="left" w:pos="1440"/>
        </w:tabs>
        <w:spacing w:before="330" w:after="453" w:line="320" w:lineRule="exact"/>
        <w:ind w:right="0" w:left="1440" w:hanging="720"/>
        <w:jc w:val="both"/>
        <w:textAlignment w:val="baseline"/>
        <w:rPr>
          <w:rFonts w:ascii="Arial" w:hAnsi="Arial" w:eastAsia="Arial"/>
          <w:color w:val="000000"/>
          <w:spacing w:val="23"/>
          <w:w w:val="100"/>
          <w:sz w:val="28"/>
          <w:vertAlign w:val="baseline"/>
          <w:lang w:val="en-US"/>
        </w:rPr>
      </w:pPr>
      <w:r>
        <w:rPr>
          <w:rFonts w:ascii="Arial" w:hAnsi="Arial" w:eastAsia="Arial"/>
          <w:color w:val="000000"/>
          <w:spacing w:val="23"/>
          <w:w w:val="100"/>
          <w:sz w:val="28"/>
          <w:vertAlign w:val="baseline"/>
          <w:lang w:val="en-US"/>
        </w:rPr>
        <w:t xml:space="preserve">That </w:t>
      </w:r>
      <w:r>
        <w:rPr>
          <w:rFonts w:ascii="Arial" w:hAnsi="Arial" w:eastAsia="Arial"/>
          <w:i w:val="true"/>
          <w:color w:val="000000"/>
          <w:spacing w:val="23"/>
          <w:w w:val="100"/>
          <w:sz w:val="28"/>
          <w:u w:val="single"/>
          <w:vertAlign w:val="baseline"/>
          <w:lang w:val="en-US"/>
        </w:rPr>
        <w:t xml:space="preserve"> (name of complainant) </w:t>
      </w:r>
      <w:r>
        <w:rPr>
          <w:rFonts w:ascii="Arial" w:hAnsi="Arial" w:eastAsia="Arial"/>
          <w:color w:val="000000"/>
          <w:spacing w:val="23"/>
          <w:w w:val="100"/>
          <w:sz w:val="28"/>
          <w:vertAlign w:val="baseline"/>
          <w:lang w:val="en-US"/>
        </w:rPr>
        <w:t xml:space="preserve"> was less than</w:t>
      </w:r>
    </w:p>
    <w:p>
      <w:pPr>
        <w:pageBreakBefore w:val="false"/>
        <w:spacing w:before="255" w:after="0" w:line="277"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549.35pt" to="252.05pt,549.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6"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42"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44"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8" w:after="321" w:line="319"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seventeen (17) years old [and]</w:t>
      </w:r>
    </w:p>
    <w:p>
      <w:pPr>
        <w:spacing w:before="8" w:after="321" w:line="319" w:lineRule="exact"/>
        <w:sectPr>
          <w:type w:val="nextPage"/>
          <w:pgSz w:w="12240" w:h="15840" w:orient="portrait"/>
          <w:pgMar w:bottom="1024" w:top="1440" w:right="4855" w:left="3605" w:header="720" w:footer="720"/>
          <w:titlePg w:val="false"/>
          <w:textDirection w:val="lrTb"/>
        </w:sectPr>
      </w:pPr>
    </w:p>
    <w:p>
      <w:pPr>
        <w:pageBreakBefore w:val="false"/>
        <w:spacing w:before="6"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spacing w:before="0"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4.	</w:t>
      </w:r>
      <w:r>
        <w:rPr>
          <w:rFonts w:ascii="Arial" w:hAnsi="Arial" w:eastAsia="Arial"/>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w:t>
        <w:br/>
      </w:r>
      <w:r>
        <w:rPr>
          <w:rFonts w:ascii="Arial" w:hAnsi="Arial" w:eastAsia="Arial"/>
          <w:i w:val="true"/>
          <w:color w:val="000000"/>
          <w:spacing w:val="0"/>
          <w:w w:val="100"/>
          <w:sz w:val="28"/>
          <w:u w:val="single"/>
          <w:vertAlign w:val="baseline"/>
          <w:lang w:val="en-US"/>
        </w:rPr>
        <w:t xml:space="preserve">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5"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8509"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8509" w:line="326" w:lineRule="exact"/>
        <w:sectPr>
          <w:type w:val="continuous"/>
          <w:pgSz w:w="12240" w:h="15840" w:orient="portrait"/>
          <w:pgMar w:bottom="1024" w:top="1440" w:right="2115" w:left="2159"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