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839C" w14:textId="77777777" w:rsidR="00294694" w:rsidRDefault="00294694">
      <w:pPr>
        <w:kinsoku w:val="0"/>
        <w:overflowPunct w:val="0"/>
        <w:autoSpaceDE/>
        <w:autoSpaceDN/>
        <w:adjustRightInd/>
        <w:spacing w:before="1" w:line="331" w:lineRule="exact"/>
        <w:jc w:val="center"/>
        <w:textAlignment w:val="baseline"/>
        <w:rPr>
          <w:rFonts w:ascii="Arial" w:hAnsi="Arial"/>
          <w:b/>
          <w:sz w:val="28"/>
        </w:rPr>
      </w:pPr>
      <w:bookmarkStart w:id="0" w:name="_GoBack"/>
      <w:bookmarkEnd w:id="0"/>
      <w:r>
        <w:rPr>
          <w:rFonts w:ascii="Arial" w:hAnsi="Arial"/>
          <w:b/>
          <w:sz w:val="28"/>
        </w:rPr>
        <w:t>MURDER IN THE FIRST DEGREE</w:t>
      </w:r>
      <w:r>
        <w:rPr>
          <w:rFonts w:ascii="Arial" w:hAnsi="Arial"/>
          <w:b/>
          <w:sz w:val="28"/>
        </w:rPr>
        <w:br/>
        <w:t>(Intentional Murder of Immediate</w:t>
      </w:r>
      <w:r>
        <w:rPr>
          <w:rFonts w:ascii="Arial" w:hAnsi="Arial"/>
          <w:b/>
          <w:sz w:val="28"/>
        </w:rPr>
        <w:br/>
        <w:t>Family Member of Witness to Prevent</w:t>
      </w:r>
      <w:r>
        <w:rPr>
          <w:rFonts w:ascii="Arial" w:hAnsi="Arial"/>
          <w:b/>
          <w:sz w:val="28"/>
        </w:rPr>
        <w:br/>
        <w:t>or Influence Testimony)</w:t>
      </w:r>
      <w:r>
        <w:rPr>
          <w:rFonts w:ascii="Arial" w:hAnsi="Arial"/>
          <w:b/>
          <w:sz w:val="28"/>
        </w:rPr>
        <w:br/>
        <w:t>Penal Law § 125.27(1)(a)(v)</w:t>
      </w:r>
      <w:r>
        <w:rPr>
          <w:rFonts w:ascii="Arial" w:hAnsi="Arial"/>
          <w:b/>
          <w:sz w:val="28"/>
        </w:rPr>
        <w:br/>
        <w:t>(Committed on or after Sept. 1, 1995)</w:t>
      </w:r>
      <w:r>
        <w:rPr>
          <w:rFonts w:ascii="Arial" w:hAnsi="Arial"/>
          <w:b/>
          <w:sz w:val="28"/>
        </w:rPr>
        <w:br/>
        <w:t>(Revised</w:t>
      </w:r>
      <w:r>
        <w:rPr>
          <w:rFonts w:ascii="Arial" w:hAnsi="Arial"/>
          <w:b/>
          <w:sz w:val="28"/>
          <w:vertAlign w:val="superscript"/>
        </w:rPr>
        <w:t>1</w:t>
      </w:r>
      <w:r>
        <w:rPr>
          <w:rFonts w:ascii="Arial" w:hAnsi="Arial"/>
          <w:b/>
          <w:sz w:val="28"/>
        </w:rPr>
        <w:t>)</w:t>
      </w:r>
    </w:p>
    <w:p w14:paraId="2297B890" w14:textId="77777777" w:rsidR="00294694" w:rsidRDefault="00294694">
      <w:pPr>
        <w:kinsoku w:val="0"/>
        <w:overflowPunct w:val="0"/>
        <w:autoSpaceDE/>
        <w:autoSpaceDN/>
        <w:adjustRightInd/>
        <w:spacing w:before="652" w:line="324"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31902B54" w14:textId="77777777" w:rsidR="00294694" w:rsidRDefault="00294694">
      <w:pPr>
        <w:kinsoku w:val="0"/>
        <w:overflowPunct w:val="0"/>
        <w:autoSpaceDE/>
        <w:autoSpaceDN/>
        <w:adjustRightInd/>
        <w:spacing w:before="327" w:line="324" w:lineRule="exact"/>
        <w:ind w:firstLine="720"/>
        <w:jc w:val="both"/>
        <w:textAlignment w:val="baseline"/>
        <w:rPr>
          <w:rFonts w:ascii="Arial" w:hAnsi="Arial"/>
          <w:sz w:val="28"/>
        </w:rPr>
      </w:pPr>
      <w:r>
        <w:rPr>
          <w:rFonts w:ascii="Arial" w:hAnsi="Arial"/>
          <w:sz w:val="28"/>
        </w:rPr>
        <w:t>Under our law, a defendant is guilty of Murder in the First Degree when, with intent to cause the death of another person, the defendant causes the death of such person [</w:t>
      </w:r>
      <w:r>
        <w:rPr>
          <w:rFonts w:ascii="Arial" w:hAnsi="Arial"/>
          <w:i/>
          <w:sz w:val="28"/>
        </w:rPr>
        <w:t xml:space="preserve">or </w:t>
      </w:r>
      <w:r>
        <w:rPr>
          <w:rFonts w:ascii="Arial" w:hAnsi="Arial"/>
          <w:sz w:val="28"/>
        </w:rPr>
        <w:t>of a third person]</w:t>
      </w:r>
      <w:r>
        <w:rPr>
          <w:rFonts w:ascii="Arial" w:hAnsi="Arial"/>
          <w:sz w:val="28"/>
          <w:vertAlign w:val="superscript"/>
        </w:rPr>
        <w:t>2</w:t>
      </w:r>
      <w:r>
        <w:rPr>
          <w:rFonts w:ascii="Arial" w:hAnsi="Arial"/>
          <w:sz w:val="28"/>
        </w:rPr>
        <w:t>, and the intended victim was the</w:t>
      </w:r>
      <w:r>
        <w:rPr>
          <w:rFonts w:ascii="Arial" w:hAnsi="Arial"/>
          <w:sz w:val="28"/>
          <w:vertAlign w:val="superscript"/>
        </w:rPr>
        <w:t>3</w:t>
      </w:r>
      <w:r>
        <w:rPr>
          <w:rFonts w:ascii="Arial" w:hAnsi="Arial"/>
          <w:sz w:val="28"/>
        </w:rPr>
        <w:t xml:space="preserve"> husband [</w:t>
      </w:r>
      <w:r>
        <w:rPr>
          <w:rFonts w:ascii="Arial" w:hAnsi="Arial"/>
          <w:i/>
          <w:sz w:val="28"/>
        </w:rPr>
        <w:t xml:space="preserve">or </w:t>
      </w:r>
      <w:r>
        <w:rPr>
          <w:rFonts w:ascii="Arial" w:hAnsi="Arial"/>
          <w:sz w:val="28"/>
        </w:rPr>
        <w:t>wife] [</w:t>
      </w:r>
      <w:r>
        <w:rPr>
          <w:rFonts w:ascii="Arial" w:hAnsi="Arial"/>
          <w:i/>
          <w:sz w:val="28"/>
        </w:rPr>
        <w:t xml:space="preserve">or </w:t>
      </w:r>
      <w:r>
        <w:rPr>
          <w:rFonts w:ascii="Arial" w:hAnsi="Arial"/>
          <w:sz w:val="28"/>
        </w:rPr>
        <w:t>father] [</w:t>
      </w:r>
      <w:r>
        <w:rPr>
          <w:rFonts w:ascii="Arial" w:hAnsi="Arial"/>
          <w:i/>
          <w:sz w:val="28"/>
        </w:rPr>
        <w:t xml:space="preserve">or </w:t>
      </w:r>
      <w:r>
        <w:rPr>
          <w:rFonts w:ascii="Arial" w:hAnsi="Arial"/>
          <w:sz w:val="28"/>
        </w:rPr>
        <w:t>mother] [</w:t>
      </w:r>
      <w:r>
        <w:rPr>
          <w:rFonts w:ascii="Arial" w:hAnsi="Arial"/>
          <w:i/>
          <w:sz w:val="28"/>
        </w:rPr>
        <w:t xml:space="preserve">or </w:t>
      </w:r>
      <w:r>
        <w:rPr>
          <w:rFonts w:ascii="Arial" w:hAnsi="Arial"/>
          <w:sz w:val="28"/>
        </w:rPr>
        <w:t>daughter] [</w:t>
      </w:r>
      <w:r>
        <w:rPr>
          <w:rFonts w:ascii="Arial" w:hAnsi="Arial"/>
          <w:i/>
          <w:sz w:val="28"/>
        </w:rPr>
        <w:t xml:space="preserve">or </w:t>
      </w:r>
      <w:r>
        <w:rPr>
          <w:rFonts w:ascii="Arial" w:hAnsi="Arial"/>
          <w:sz w:val="28"/>
        </w:rPr>
        <w:t>son] [</w:t>
      </w:r>
      <w:r>
        <w:rPr>
          <w:rFonts w:ascii="Arial" w:hAnsi="Arial"/>
          <w:i/>
          <w:sz w:val="28"/>
        </w:rPr>
        <w:t xml:space="preserve">or </w:t>
      </w:r>
      <w:r>
        <w:rPr>
          <w:rFonts w:ascii="Arial" w:hAnsi="Arial"/>
          <w:sz w:val="28"/>
        </w:rPr>
        <w:t>brother] [</w:t>
      </w:r>
      <w:r>
        <w:rPr>
          <w:rFonts w:ascii="Arial" w:hAnsi="Arial"/>
          <w:i/>
          <w:sz w:val="28"/>
        </w:rPr>
        <w:t xml:space="preserve">or </w:t>
      </w:r>
      <w:r>
        <w:rPr>
          <w:rFonts w:ascii="Arial" w:hAnsi="Arial"/>
          <w:sz w:val="28"/>
        </w:rPr>
        <w:t>sister] [</w:t>
      </w:r>
      <w:r>
        <w:rPr>
          <w:rFonts w:ascii="Arial" w:hAnsi="Arial"/>
          <w:i/>
          <w:sz w:val="28"/>
        </w:rPr>
        <w:t xml:space="preserve">or </w:t>
      </w:r>
      <w:r>
        <w:rPr>
          <w:rFonts w:ascii="Arial" w:hAnsi="Arial"/>
          <w:sz w:val="28"/>
        </w:rPr>
        <w:t>stepparent] [</w:t>
      </w:r>
      <w:r>
        <w:rPr>
          <w:rFonts w:ascii="Arial" w:hAnsi="Arial"/>
          <w:i/>
          <w:sz w:val="28"/>
        </w:rPr>
        <w:t xml:space="preserve">or </w:t>
      </w:r>
      <w:r>
        <w:rPr>
          <w:rFonts w:ascii="Arial" w:hAnsi="Arial"/>
          <w:sz w:val="28"/>
        </w:rPr>
        <w:t>grandparent] [</w:t>
      </w:r>
      <w:r>
        <w:rPr>
          <w:rFonts w:ascii="Arial" w:hAnsi="Arial"/>
          <w:i/>
          <w:sz w:val="28"/>
        </w:rPr>
        <w:t xml:space="preserve">or </w:t>
      </w:r>
      <w:r>
        <w:rPr>
          <w:rFonts w:ascii="Arial" w:hAnsi="Arial"/>
          <w:sz w:val="28"/>
        </w:rPr>
        <w:t>stepchild] [</w:t>
      </w:r>
      <w:r>
        <w:rPr>
          <w:rFonts w:ascii="Arial" w:hAnsi="Arial"/>
          <w:i/>
          <w:sz w:val="28"/>
        </w:rPr>
        <w:t xml:space="preserve">or </w:t>
      </w:r>
      <w:r>
        <w:rPr>
          <w:rFonts w:ascii="Arial" w:hAnsi="Arial"/>
          <w:sz w:val="28"/>
        </w:rPr>
        <w:t>grandchild] of a witness to a crime committed on a prior occasion and the killing was committed for the purpose of preventing or influencing the testimony of such witness, and the defendant was more than eighteen (18) years old at the time of the commission of the crime.</w:t>
      </w:r>
    </w:p>
    <w:p w14:paraId="02DB0624" w14:textId="77777777" w:rsidR="00294694" w:rsidRDefault="00294694">
      <w:pPr>
        <w:kinsoku w:val="0"/>
        <w:overflowPunct w:val="0"/>
        <w:autoSpaceDE/>
        <w:autoSpaceDN/>
        <w:adjustRightInd/>
        <w:spacing w:before="324" w:after="418" w:line="324" w:lineRule="exact"/>
        <w:ind w:firstLine="720"/>
        <w:jc w:val="both"/>
        <w:textAlignment w:val="baseline"/>
        <w:rPr>
          <w:rFonts w:ascii="Arial" w:hAnsi="Arial"/>
          <w:sz w:val="28"/>
        </w:rPr>
      </w:pPr>
      <w:r>
        <w:rPr>
          <w:rFonts w:ascii="Arial" w:hAnsi="Arial"/>
          <w:sz w:val="28"/>
        </w:rPr>
        <w:t>The definition of the crime requires that the defendant cause the death for the purpose of preventing or influencing the testimony of the intended victim’s (</w:t>
      </w:r>
      <w:r>
        <w:rPr>
          <w:rFonts w:ascii="Arial" w:hAnsi="Arial"/>
          <w:i/>
          <w:sz w:val="28"/>
          <w:u w:val="single"/>
        </w:rPr>
        <w:t>specify relationship</w:t>
      </w:r>
      <w:r>
        <w:rPr>
          <w:rFonts w:ascii="Arial" w:hAnsi="Arial"/>
          <w:sz w:val="28"/>
        </w:rPr>
        <w:t>). It is not required that the death be caused only for that purpose. What is required is that the motivation to prevent or influence the</w:t>
      </w:r>
    </w:p>
    <w:p w14:paraId="278757A4" w14:textId="60C646A3" w:rsidR="00294694" w:rsidRDefault="00FD0B25">
      <w:pPr>
        <w:kinsoku w:val="0"/>
        <w:overflowPunct w:val="0"/>
        <w:autoSpaceDE/>
        <w:autoSpaceDN/>
        <w:adjustRightInd/>
        <w:spacing w:before="253" w:line="298" w:lineRule="exact"/>
        <w:ind w:firstLine="288"/>
        <w:jc w:val="both"/>
        <w:textAlignment w:val="baseline"/>
        <w:rPr>
          <w:rFonts w:ascii="Arial" w:hAnsi="Arial"/>
          <w:sz w:val="26"/>
        </w:rPr>
      </w:pPr>
      <w:r>
        <w:rPr>
          <w:noProof/>
        </w:rPr>
        <mc:AlternateContent>
          <mc:Choice Requires="wps">
            <w:drawing>
              <wp:anchor distT="0" distB="0" distL="0" distR="0" simplePos="0" relativeHeight="251658240" behindDoc="0" locked="0" layoutInCell="0" allowOverlap="1" wp14:anchorId="66F6EDD4" wp14:editId="3A6F741D">
                <wp:simplePos x="0" y="0"/>
                <wp:positionH relativeFrom="page">
                  <wp:posOffset>1371600</wp:posOffset>
                </wp:positionH>
                <wp:positionV relativeFrom="page">
                  <wp:posOffset>6986270</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6D6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50.1pt" to="252.05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QX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" o:allowincell="f" strokeweight=".95pt">
                <w10:wrap type="square" anchorx="page" anchory="page"/>
              </v:line>
            </w:pict>
          </mc:Fallback>
        </mc:AlternateContent>
      </w:r>
      <w:r w:rsidR="00294694">
        <w:rPr>
          <w:rFonts w:ascii="Arial" w:hAnsi="Arial"/>
          <w:sz w:val="16"/>
          <w:vertAlign w:val="superscript"/>
        </w:rPr>
        <w:t>1</w:t>
      </w:r>
      <w:r w:rsidR="00294694">
        <w:rPr>
          <w:rFonts w:ascii="Arial" w:hAnsi="Arial"/>
          <w:sz w:val="26"/>
        </w:rPr>
        <w:t xml:space="preserve"> This charge was revised twice. The last revision was effective May 20, 2004. That revision added the third paragraph to incorporate the law set down by </w:t>
      </w:r>
      <w:r w:rsidR="00294694">
        <w:rPr>
          <w:rFonts w:ascii="Arial" w:hAnsi="Arial"/>
          <w:i/>
          <w:sz w:val="26"/>
        </w:rPr>
        <w:t>People v. Cahill</w:t>
      </w:r>
      <w:r w:rsidR="00294694">
        <w:rPr>
          <w:rFonts w:ascii="Arial" w:hAnsi="Arial"/>
          <w:sz w:val="26"/>
        </w:rPr>
        <w:t>, 2 N.Y.3d 14 (2003). The previous revision had taken effect on October 25, 2001.</w:t>
      </w:r>
    </w:p>
    <w:p w14:paraId="0E39E9C7" w14:textId="77777777" w:rsidR="00294694" w:rsidRDefault="00294694">
      <w:pPr>
        <w:kinsoku w:val="0"/>
        <w:overflowPunct w:val="0"/>
        <w:autoSpaceDE/>
        <w:autoSpaceDN/>
        <w:adjustRightInd/>
        <w:spacing w:before="244" w:line="298" w:lineRule="exact"/>
        <w:ind w:firstLine="288"/>
        <w:jc w:val="both"/>
        <w:textAlignment w:val="baseline"/>
        <w:rPr>
          <w:rFonts w:ascii="Arial" w:hAnsi="Arial"/>
          <w:sz w:val="26"/>
        </w:rPr>
      </w:pPr>
      <w:r>
        <w:rPr>
          <w:rFonts w:ascii="Arial" w:hAnsi="Arial"/>
          <w:sz w:val="16"/>
          <w:vertAlign w:val="superscript"/>
        </w:rPr>
        <w:t>2</w:t>
      </w:r>
      <w:r>
        <w:rPr>
          <w:rFonts w:ascii="Arial" w:hAnsi="Arial"/>
          <w:sz w:val="26"/>
        </w:rPr>
        <w:t xml:space="preserve"> If transferred intent applies and is in issue, see the definition of transferred intent in the Additional Charges at the end of this article.</w:t>
      </w:r>
    </w:p>
    <w:p w14:paraId="5ECA2E70" w14:textId="77777777" w:rsidR="00294694" w:rsidRDefault="00294694">
      <w:pPr>
        <w:kinsoku w:val="0"/>
        <w:overflowPunct w:val="0"/>
        <w:autoSpaceDE/>
        <w:autoSpaceDN/>
        <w:adjustRightInd/>
        <w:spacing w:before="239" w:line="298" w:lineRule="exact"/>
        <w:ind w:firstLine="288"/>
        <w:jc w:val="both"/>
        <w:textAlignment w:val="baseline"/>
        <w:rPr>
          <w:rFonts w:ascii="Arial" w:hAnsi="Arial"/>
          <w:sz w:val="26"/>
        </w:rPr>
      </w:pPr>
      <w:r>
        <w:rPr>
          <w:rFonts w:ascii="Arial" w:hAnsi="Arial"/>
          <w:sz w:val="16"/>
          <w:vertAlign w:val="superscript"/>
        </w:rPr>
        <w:t>3</w:t>
      </w:r>
      <w:r>
        <w:rPr>
          <w:rFonts w:ascii="Arial" w:hAnsi="Arial"/>
          <w:sz w:val="26"/>
        </w:rPr>
        <w:t xml:space="preserve"> At this point, the statute states "immediate family member." The charge substitutes the definition of "immediate family member" given later in the same subdivision.</w:t>
      </w:r>
    </w:p>
    <w:p w14:paraId="0D6472E8" w14:textId="77777777" w:rsidR="00294694" w:rsidRDefault="00294694">
      <w:pPr>
        <w:widowControl/>
        <w:rPr>
          <w:sz w:val="24"/>
        </w:rPr>
        <w:sectPr w:rsidR="00294694">
          <w:pgSz w:w="12240" w:h="15840"/>
          <w:pgMar w:top="1440" w:right="2120" w:bottom="1024" w:left="2160" w:header="720" w:footer="0" w:gutter="0"/>
          <w:cols w:space="720"/>
          <w:noEndnote/>
        </w:sectPr>
      </w:pPr>
    </w:p>
    <w:p w14:paraId="6198D731" w14:textId="3F567C5D" w:rsidR="00294694" w:rsidRDefault="00FD0B25">
      <w:pPr>
        <w:kinsoku w:val="0"/>
        <w:overflowPunct w:val="0"/>
        <w:autoSpaceDE/>
        <w:autoSpaceDN/>
        <w:adjustRightInd/>
        <w:spacing w:before="4" w:line="323" w:lineRule="exact"/>
        <w:jc w:val="both"/>
        <w:textAlignment w:val="baseline"/>
        <w:rPr>
          <w:rFonts w:ascii="Arial" w:hAnsi="Arial"/>
          <w:sz w:val="17"/>
        </w:rPr>
      </w:pPr>
      <w:r>
        <w:rPr>
          <w:noProof/>
        </w:rPr>
        <w:lastRenderedPageBreak/>
        <mc:AlternateContent>
          <mc:Choice Requires="wps">
            <w:drawing>
              <wp:anchor distT="0" distB="0" distL="0" distR="0" simplePos="0" relativeHeight="251659264" behindDoc="0" locked="0" layoutInCell="0" allowOverlap="1" wp14:anchorId="2A0ECDBC" wp14:editId="04BC1AA2">
                <wp:simplePos x="0" y="0"/>
                <wp:positionH relativeFrom="page">
                  <wp:posOffset>1370965</wp:posOffset>
                </wp:positionH>
                <wp:positionV relativeFrom="page">
                  <wp:posOffset>7943215</wp:posOffset>
                </wp:positionV>
                <wp:extent cx="183007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163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95pt,625.45pt" to="252.0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Vz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" o:allowincell="f" strokeweight="1.2pt">
                <w10:wrap type="square" anchorx="page" anchory="page"/>
              </v:line>
            </w:pict>
          </mc:Fallback>
        </mc:AlternateContent>
      </w:r>
      <w:r w:rsidR="00294694">
        <w:rPr>
          <w:rFonts w:ascii="Arial" w:hAnsi="Arial"/>
          <w:sz w:val="28"/>
        </w:rPr>
        <w:t>testimony of the intended victim’s (</w:t>
      </w:r>
      <w:r w:rsidR="00294694">
        <w:rPr>
          <w:rFonts w:ascii="Arial" w:hAnsi="Arial"/>
          <w:i/>
          <w:sz w:val="28"/>
          <w:u w:val="single"/>
        </w:rPr>
        <w:t>specify relationship</w:t>
      </w:r>
      <w:r w:rsidR="00294694">
        <w:rPr>
          <w:rFonts w:ascii="Arial" w:hAnsi="Arial"/>
          <w:sz w:val="28"/>
        </w:rPr>
        <w:t>) was a substantial reason for the murder.</w:t>
      </w:r>
      <w:r w:rsidR="00294694">
        <w:rPr>
          <w:rFonts w:ascii="Arial" w:hAnsi="Arial"/>
          <w:sz w:val="28"/>
          <w:vertAlign w:val="superscript"/>
        </w:rPr>
        <w:t>4</w:t>
      </w:r>
    </w:p>
    <w:p w14:paraId="3F845362" w14:textId="77777777" w:rsidR="00294694" w:rsidRDefault="00294694">
      <w:pPr>
        <w:kinsoku w:val="0"/>
        <w:overflowPunct w:val="0"/>
        <w:autoSpaceDE/>
        <w:autoSpaceDN/>
        <w:adjustRightInd/>
        <w:spacing w:before="326" w:line="326" w:lineRule="exact"/>
        <w:ind w:firstLine="720"/>
        <w:jc w:val="both"/>
        <w:textAlignment w:val="baseline"/>
        <w:rPr>
          <w:rFonts w:ascii="Arial" w:hAnsi="Arial"/>
          <w:sz w:val="28"/>
        </w:rPr>
      </w:pPr>
      <w:r>
        <w:rPr>
          <w:rFonts w:ascii="Arial" w:hAnsi="Arial"/>
          <w:sz w:val="28"/>
        </w:rPr>
        <w:t>The following term used in that definition has a special meaning:</w:t>
      </w:r>
    </w:p>
    <w:p w14:paraId="527FB59C" w14:textId="77777777" w:rsidR="00294694" w:rsidRDefault="00294694">
      <w:pPr>
        <w:kinsoku w:val="0"/>
        <w:overflowPunct w:val="0"/>
        <w:autoSpaceDE/>
        <w:autoSpaceDN/>
        <w:adjustRightInd/>
        <w:spacing w:before="327" w:line="321" w:lineRule="exact"/>
        <w:ind w:firstLine="720"/>
        <w:jc w:val="both"/>
        <w:textAlignment w:val="baseline"/>
        <w:rPr>
          <w:rFonts w:ascii="Arial" w:hAnsi="Arial"/>
          <w:sz w:val="17"/>
        </w:rPr>
      </w:pPr>
      <w:r>
        <w:rPr>
          <w:rFonts w:ascii="Arial" w:hAnsi="Arial"/>
          <w:sz w:val="28"/>
        </w:rPr>
        <w:t>INTENT means conscious objective or purpose. Thus, a person acts with intent to cause the death of another person when his or her conscious objective or purpose is to cause the death of that person.</w:t>
      </w:r>
      <w:r>
        <w:rPr>
          <w:rFonts w:ascii="Arial" w:hAnsi="Arial"/>
          <w:sz w:val="28"/>
          <w:vertAlign w:val="superscript"/>
        </w:rPr>
        <w:t>5</w:t>
      </w:r>
    </w:p>
    <w:p w14:paraId="086707CE" w14:textId="77777777" w:rsidR="00294694" w:rsidRDefault="00294694">
      <w:pPr>
        <w:kinsoku w:val="0"/>
        <w:overflowPunct w:val="0"/>
        <w:autoSpaceDE/>
        <w:autoSpaceDN/>
        <w:adjustRightInd/>
        <w:spacing w:before="331" w:line="324"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the evidence in the case, beyond a reasonable doubt, each of the following five elements:</w:t>
      </w:r>
    </w:p>
    <w:p w14:paraId="73A30D0D" w14:textId="77777777" w:rsidR="00294694" w:rsidRDefault="00294694">
      <w:pPr>
        <w:numPr>
          <w:ilvl w:val="0"/>
          <w:numId w:val="1"/>
        </w:numPr>
        <w:kinsoku w:val="0"/>
        <w:overflowPunct w:val="0"/>
        <w:autoSpaceDE/>
        <w:autoSpaceDN/>
        <w:adjustRightInd/>
        <w:spacing w:before="333" w:line="321"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(specify) </w:t>
      </w:r>
      <w:r>
        <w:rPr>
          <w:rFonts w:ascii="Arial" w:hAnsi="Arial"/>
          <w:sz w:val="28"/>
        </w:rPr>
        <w:t xml:space="preserve"> ;</w:t>
      </w:r>
    </w:p>
    <w:p w14:paraId="513893CC" w14:textId="77777777" w:rsidR="00294694" w:rsidRDefault="00294694">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 xml:space="preserve">That the defendant did so with the intent to cause the death of </w:t>
      </w:r>
      <w:r>
        <w:rPr>
          <w:rFonts w:ascii="Arial" w:hAnsi="Arial"/>
          <w:i/>
          <w:sz w:val="23"/>
          <w:u w:val="single"/>
        </w:rPr>
        <w:t xml:space="preserve"> (specify) </w:t>
      </w:r>
      <w:r>
        <w:rPr>
          <w:rFonts w:ascii="Arial" w:hAnsi="Arial"/>
          <w:sz w:val="28"/>
        </w:rPr>
        <w:t xml:space="preserve"> ;</w:t>
      </w:r>
    </w:p>
    <w:p w14:paraId="028ADE7E" w14:textId="77777777" w:rsidR="00294694" w:rsidRDefault="00294694">
      <w:pPr>
        <w:numPr>
          <w:ilvl w:val="0"/>
          <w:numId w:val="1"/>
        </w:numPr>
        <w:kinsoku w:val="0"/>
        <w:overflowPunct w:val="0"/>
        <w:autoSpaceDE/>
        <w:autoSpaceDN/>
        <w:adjustRightInd/>
        <w:spacing w:before="333" w:line="321" w:lineRule="exact"/>
        <w:jc w:val="both"/>
        <w:textAlignment w:val="baseline"/>
        <w:rPr>
          <w:rFonts w:ascii="Arial" w:hAnsi="Arial"/>
          <w:sz w:val="28"/>
        </w:rPr>
      </w:pPr>
      <w:r>
        <w:rPr>
          <w:rFonts w:ascii="Arial" w:hAnsi="Arial"/>
          <w:sz w:val="28"/>
        </w:rPr>
        <w:t xml:space="preserve">That </w:t>
      </w:r>
      <w:r>
        <w:rPr>
          <w:rFonts w:ascii="Arial" w:hAnsi="Arial"/>
          <w:i/>
          <w:sz w:val="23"/>
          <w:u w:val="single"/>
        </w:rPr>
        <w:t xml:space="preserve"> (specify) </w:t>
      </w:r>
      <w:r>
        <w:rPr>
          <w:rFonts w:ascii="Arial" w:hAnsi="Arial"/>
          <w:sz w:val="28"/>
        </w:rPr>
        <w:t xml:space="preserve"> was the </w:t>
      </w:r>
      <w:r>
        <w:rPr>
          <w:rFonts w:ascii="Arial" w:hAnsi="Arial"/>
          <w:i/>
          <w:sz w:val="23"/>
          <w:u w:val="single"/>
        </w:rPr>
        <w:t xml:space="preserve"> (specify family relationship) </w:t>
      </w:r>
      <w:r>
        <w:rPr>
          <w:rFonts w:ascii="Arial" w:hAnsi="Arial"/>
          <w:sz w:val="28"/>
        </w:rPr>
        <w:t xml:space="preserve"> of </w:t>
      </w:r>
      <w:r>
        <w:rPr>
          <w:rFonts w:ascii="Arial" w:hAnsi="Arial"/>
          <w:i/>
          <w:sz w:val="23"/>
          <w:u w:val="single"/>
        </w:rPr>
        <w:t xml:space="preserve"> (name of witness) </w:t>
      </w:r>
      <w:r>
        <w:rPr>
          <w:rFonts w:ascii="Arial" w:hAnsi="Arial"/>
          <w:sz w:val="28"/>
        </w:rPr>
        <w:t xml:space="preserve"> and that </w:t>
      </w:r>
      <w:r>
        <w:rPr>
          <w:rFonts w:ascii="Arial" w:hAnsi="Arial"/>
          <w:i/>
          <w:sz w:val="23"/>
          <w:u w:val="single"/>
        </w:rPr>
        <w:t xml:space="preserve"> (name of witness)</w:t>
      </w:r>
      <w:r>
        <w:rPr>
          <w:rFonts w:ascii="Arial" w:hAnsi="Arial"/>
          <w:sz w:val="28"/>
        </w:rPr>
        <w:t xml:space="preserve"> was a witness to a crime committed on a prior occasion;</w:t>
      </w:r>
    </w:p>
    <w:p w14:paraId="24863209" w14:textId="77777777" w:rsidR="00294694" w:rsidRDefault="00294694">
      <w:pPr>
        <w:numPr>
          <w:ilvl w:val="0"/>
          <w:numId w:val="1"/>
        </w:numPr>
        <w:kinsoku w:val="0"/>
        <w:overflowPunct w:val="0"/>
        <w:autoSpaceDE/>
        <w:autoSpaceDN/>
        <w:adjustRightInd/>
        <w:spacing w:before="333" w:line="321" w:lineRule="exact"/>
        <w:jc w:val="both"/>
        <w:textAlignment w:val="baseline"/>
        <w:rPr>
          <w:rFonts w:ascii="Arial" w:hAnsi="Arial"/>
          <w:sz w:val="28"/>
        </w:rPr>
      </w:pPr>
      <w:r>
        <w:rPr>
          <w:rFonts w:ascii="Arial" w:hAnsi="Arial"/>
          <w:sz w:val="28"/>
        </w:rPr>
        <w:t xml:space="preserve">That the killing was committed for the purpose of preventing or influencing the testimony of </w:t>
      </w:r>
      <w:r>
        <w:rPr>
          <w:rFonts w:ascii="Arial" w:hAnsi="Arial"/>
          <w:i/>
          <w:sz w:val="23"/>
          <w:u w:val="single"/>
        </w:rPr>
        <w:t xml:space="preserve"> (name of witness) </w:t>
      </w:r>
      <w:r>
        <w:rPr>
          <w:rFonts w:ascii="Arial" w:hAnsi="Arial"/>
          <w:sz w:val="28"/>
        </w:rPr>
        <w:t xml:space="preserve"> ; and</w:t>
      </w:r>
    </w:p>
    <w:p w14:paraId="4B3A47D5" w14:textId="77777777" w:rsidR="00294694" w:rsidRDefault="00294694">
      <w:pPr>
        <w:numPr>
          <w:ilvl w:val="0"/>
          <w:numId w:val="1"/>
        </w:numPr>
        <w:kinsoku w:val="0"/>
        <w:overflowPunct w:val="0"/>
        <w:autoSpaceDE/>
        <w:autoSpaceDN/>
        <w:adjustRightInd/>
        <w:spacing w:before="331" w:after="670" w:line="322" w:lineRule="exact"/>
        <w:jc w:val="both"/>
        <w:textAlignment w:val="baseline"/>
        <w:rPr>
          <w:rFonts w:ascii="Arial" w:hAnsi="Arial"/>
          <w:sz w:val="28"/>
        </w:rPr>
      </w:pPr>
      <w:r>
        <w:rPr>
          <w:rFonts w:ascii="Arial" w:hAnsi="Arial"/>
          <w:sz w:val="28"/>
        </w:rPr>
        <w:t>That the defendant was more than eighteen (18) years old at the time of the commission of the crime.</w:t>
      </w:r>
    </w:p>
    <w:p w14:paraId="15E28894" w14:textId="77777777" w:rsidR="00294694" w:rsidRDefault="00294694">
      <w:pPr>
        <w:kinsoku w:val="0"/>
        <w:overflowPunct w:val="0"/>
        <w:autoSpaceDE/>
        <w:autoSpaceDN/>
        <w:adjustRightInd/>
        <w:spacing w:before="261" w:line="299" w:lineRule="exact"/>
        <w:ind w:left="288"/>
        <w:textAlignment w:val="baseline"/>
        <w:rPr>
          <w:rFonts w:ascii="Arial" w:hAnsi="Arial"/>
          <w:sz w:val="26"/>
        </w:rPr>
      </w:pPr>
      <w:r>
        <w:rPr>
          <w:rFonts w:ascii="Arial" w:hAnsi="Arial"/>
          <w:sz w:val="16"/>
          <w:vertAlign w:val="superscript"/>
        </w:rPr>
        <w:t>4</w:t>
      </w:r>
      <w:r>
        <w:rPr>
          <w:rFonts w:ascii="Arial" w:hAnsi="Arial"/>
          <w:i/>
          <w:sz w:val="26"/>
        </w:rPr>
        <w:t xml:space="preserve"> People v. Cahill, </w:t>
      </w:r>
      <w:r>
        <w:rPr>
          <w:rFonts w:ascii="Arial" w:hAnsi="Arial"/>
          <w:sz w:val="26"/>
        </w:rPr>
        <w:t>N.Y.2d (2003).</w:t>
      </w:r>
    </w:p>
    <w:p w14:paraId="2E9E5335" w14:textId="77777777" w:rsidR="00294694" w:rsidRDefault="00294694">
      <w:pPr>
        <w:kinsoku w:val="0"/>
        <w:overflowPunct w:val="0"/>
        <w:autoSpaceDE/>
        <w:autoSpaceDN/>
        <w:adjustRightInd/>
        <w:spacing w:before="245" w:line="281" w:lineRule="exact"/>
        <w:ind w:firstLine="288"/>
        <w:jc w:val="both"/>
        <w:textAlignment w:val="baseline"/>
        <w:rPr>
          <w:rFonts w:ascii="Arial" w:hAnsi="Arial"/>
          <w:sz w:val="24"/>
        </w:rPr>
      </w:pPr>
      <w:r>
        <w:rPr>
          <w:rFonts w:ascii="Arial" w:hAnsi="Arial"/>
          <w:sz w:val="16"/>
          <w:vertAlign w:val="superscript"/>
        </w:rPr>
        <w:t>5</w:t>
      </w:r>
      <w:r>
        <w:rPr>
          <w:rFonts w:ascii="Arial" w:hAnsi="Arial"/>
          <w:i/>
          <w:sz w:val="26"/>
        </w:rPr>
        <w:t xml:space="preserve">See </w:t>
      </w:r>
      <w:r>
        <w:rPr>
          <w:rFonts w:ascii="Arial" w:hAnsi="Arial"/>
          <w:sz w:val="26"/>
        </w:rPr>
        <w:t xml:space="preserve">Penal Law § 15.05(1). </w:t>
      </w:r>
      <w:r>
        <w:rPr>
          <w:rFonts w:ascii="Arial" w:hAnsi="Arial"/>
          <w:sz w:val="24"/>
        </w:rPr>
        <w:t xml:space="preserve">For an expanded charge on intent, </w:t>
      </w:r>
      <w:r>
        <w:rPr>
          <w:rFonts w:ascii="Arial" w:hAnsi="Arial"/>
          <w:i/>
          <w:sz w:val="24"/>
        </w:rPr>
        <w:t xml:space="preserve">see </w:t>
      </w:r>
      <w:r>
        <w:rPr>
          <w:rFonts w:ascii="Arial" w:hAnsi="Arial"/>
          <w:sz w:val="24"/>
        </w:rPr>
        <w:t>General Charges, Culpable Mental States, Intent.</w:t>
      </w:r>
    </w:p>
    <w:p w14:paraId="0AEAF000" w14:textId="77777777" w:rsidR="00294694" w:rsidRDefault="00294694">
      <w:pPr>
        <w:widowControl/>
        <w:rPr>
          <w:sz w:val="24"/>
        </w:rPr>
        <w:sectPr w:rsidR="00294694">
          <w:footerReference w:type="default" r:id="rId7"/>
          <w:pgSz w:w="12240" w:h="15840"/>
          <w:pgMar w:top="1440" w:right="2121" w:bottom="1330" w:left="2159" w:header="720" w:footer="1488" w:gutter="0"/>
          <w:cols w:space="720"/>
          <w:noEndnote/>
        </w:sectPr>
      </w:pPr>
    </w:p>
    <w:p w14:paraId="7205D802" w14:textId="77777777" w:rsidR="00294694" w:rsidRDefault="00294694">
      <w:pPr>
        <w:kinsoku w:val="0"/>
        <w:overflowPunct w:val="0"/>
        <w:autoSpaceDE/>
        <w:autoSpaceDN/>
        <w:adjustRightInd/>
        <w:spacing w:before="2" w:line="326" w:lineRule="exact"/>
        <w:ind w:firstLine="720"/>
        <w:jc w:val="both"/>
        <w:textAlignment w:val="baseline"/>
        <w:rPr>
          <w:rFonts w:ascii="Arial" w:hAnsi="Arial"/>
          <w:sz w:val="28"/>
        </w:rPr>
      </w:pPr>
      <w:r>
        <w:rPr>
          <w:rFonts w:ascii="Arial" w:hAnsi="Arial"/>
          <w:sz w:val="28"/>
        </w:rPr>
        <w:lastRenderedPageBreak/>
        <w:t>If you find the People have proven beyond a reasonable doubt each of those elements, you must find the defendant guilty of this crime.</w:t>
      </w:r>
    </w:p>
    <w:p w14:paraId="653CC4C7" w14:textId="77777777" w:rsidR="00294694" w:rsidRDefault="00294694">
      <w:pPr>
        <w:kinsoku w:val="0"/>
        <w:overflowPunct w:val="0"/>
        <w:autoSpaceDE/>
        <w:autoSpaceDN/>
        <w:adjustRightInd/>
        <w:spacing w:before="318" w:line="326"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6755F077" w14:textId="77777777" w:rsidR="00294694" w:rsidRDefault="00294694">
      <w:pPr>
        <w:kinsoku w:val="0"/>
        <w:overflowPunct w:val="0"/>
        <w:autoSpaceDE/>
        <w:autoSpaceDN/>
        <w:adjustRightInd/>
        <w:spacing w:before="320" w:line="323" w:lineRule="exact"/>
        <w:jc w:val="both"/>
        <w:textAlignment w:val="baseline"/>
        <w:rPr>
          <w:rFonts w:ascii="Arial" w:hAnsi="Arial"/>
          <w:i/>
          <w:spacing w:val="-2"/>
          <w:sz w:val="28"/>
        </w:rPr>
      </w:pPr>
      <w:r>
        <w:rPr>
          <w:rFonts w:ascii="Arial" w:hAnsi="Arial"/>
          <w:i/>
          <w:spacing w:val="-2"/>
          <w:sz w:val="28"/>
        </w:rPr>
        <w:t>[NOTE: If either of the affirmative defenses -- Extreme Emotional Disturbance (§ 125.27(2)(a)) or Aiding a Suicide (§ 125.27(2)(b)) -- applies, omit the final two paragraphs of the above charge, and substitute one of the charges at the end of this article.]</w:t>
      </w:r>
    </w:p>
    <w:sectPr w:rsidR="00294694" w:rsidSect="00294694">
      <w:pgSz w:w="12240" w:h="15840"/>
      <w:pgMar w:top="1440" w:right="2130" w:bottom="1323" w:left="2150"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19BC" w14:textId="77777777" w:rsidR="00294694" w:rsidRDefault="00294694" w:rsidP="00294694">
      <w:r>
        <w:separator/>
      </w:r>
    </w:p>
  </w:endnote>
  <w:endnote w:type="continuationSeparator" w:id="0">
    <w:p w14:paraId="06864A20" w14:textId="77777777" w:rsidR="00294694" w:rsidRDefault="00294694" w:rsidP="0029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FA54" w14:textId="77777777" w:rsidR="00294694" w:rsidRDefault="00294694">
    <w:pPr>
      <w:keepNext/>
      <w:keepLines/>
      <w:tabs>
        <w:tab w:val="left" w:pos="3827"/>
      </w:tabs>
      <w:kinsoku w:val="0"/>
      <w:overflowPunct w:val="0"/>
      <w:autoSpaceDE/>
      <w:autoSpaceDN/>
      <w:adjustRightInd/>
      <w:spacing w:line="288"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5EE5" w14:textId="77777777" w:rsidR="00294694" w:rsidRDefault="00294694" w:rsidP="00294694">
      <w:r>
        <w:separator/>
      </w:r>
    </w:p>
  </w:footnote>
  <w:footnote w:type="continuationSeparator" w:id="0">
    <w:p w14:paraId="62A72D3C" w14:textId="77777777" w:rsidR="00294694" w:rsidRDefault="00294694" w:rsidP="0029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95F9"/>
    <w:multiLevelType w:val="singleLevel"/>
    <w:tmpl w:val="1A1616B4"/>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94"/>
    <w:rsid w:val="00294694"/>
    <w:rsid w:val="00F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14DEDD"/>
  <w14:defaultImageDpi w14:val="0"/>
  <w15:docId w15:val="{D697AD84-F4EC-4912-BBA5-A2B95668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2019-02-19T03:44:00Z</dcterms:created>
  <dcterms:modified xsi:type="dcterms:W3CDTF">2019-02-19T03:44:00Z</dcterms:modified>
</cp:coreProperties>
</file>