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9"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MURDER IN THE FIRST DEGREE</w:t>
        <w:br/>
      </w:r>
      <w:r>
        <w:rPr>
          <w:rFonts w:ascii="Arial" w:hAnsi="Arial" w:eastAsia="Arial"/>
          <w:b w:val="true"/>
          <w:color w:val="000000"/>
          <w:spacing w:val="0"/>
          <w:w w:val="100"/>
          <w:sz w:val="28"/>
          <w:vertAlign w:val="baseline"/>
          <w:lang w:val="en-US"/>
        </w:rPr>
        <w:t xml:space="preserve">(Intentional Murder of</w:t>
        <w:br/>
      </w:r>
      <w:r>
        <w:rPr>
          <w:rFonts w:ascii="Arial" w:hAnsi="Arial" w:eastAsia="Arial"/>
          <w:b w:val="true"/>
          <w:color w:val="000000"/>
          <w:spacing w:val="0"/>
          <w:w w:val="100"/>
          <w:sz w:val="28"/>
          <w:vertAlign w:val="baseline"/>
          <w:lang w:val="en-US"/>
        </w:rPr>
        <w:t xml:space="preserve">Police Officer)</w:t>
        <w:br/>
      </w:r>
      <w:r>
        <w:rPr>
          <w:rFonts w:ascii="Arial" w:hAnsi="Arial" w:eastAsia="Arial"/>
          <w:b w:val="true"/>
          <w:color w:val="000000"/>
          <w:spacing w:val="0"/>
          <w:w w:val="100"/>
          <w:sz w:val="28"/>
          <w:vertAlign w:val="baseline"/>
          <w:lang w:val="en-US"/>
        </w:rPr>
        <w:t xml:space="preserve">Penal Law § 125.27(1)(a)(i)</w:t>
        <w:br/>
      </w:r>
      <w:r>
        <w:rPr>
          <w:rFonts w:ascii="Arial" w:hAnsi="Arial" w:eastAsia="Arial"/>
          <w:b w:val="true"/>
          <w:color w:val="000000"/>
          <w:spacing w:val="0"/>
          <w:w w:val="100"/>
          <w:sz w:val="28"/>
          <w:vertAlign w:val="baseline"/>
          <w:lang w:val="en-US"/>
        </w:rPr>
        <w:t xml:space="preserve">(Committed on or after Sept. 1, 1995)</w:t>
      </w:r>
    </w:p>
    <w:p>
      <w:pPr>
        <w:pageBreakBefore w:val="false"/>
        <w:spacing w:before="651" w:after="0" w:line="324" w:lineRule="exact"/>
        <w:ind w:right="0" w:left="0" w:firstLine="0"/>
        <w:jc w:val="center"/>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The </w:t>
      </w:r>
      <w:r>
        <w:rPr>
          <w:rFonts w:ascii="Arial" w:hAnsi="Arial" w:eastAsia="Arial"/>
          <w:color w:val="000000"/>
          <w:spacing w:val="-1"/>
          <w:w w:val="100"/>
          <w:sz w:val="28"/>
          <w:u w:val="single"/>
          <w:vertAlign w:val="baseline"/>
          <w:lang w:val="en-US"/>
        </w:rPr>
        <w:t xml:space="preserve">(</w:t>
      </w:r>
      <w:r>
        <w:rPr>
          <w:rFonts w:ascii="Arial" w:hAnsi="Arial" w:eastAsia="Arial"/>
          <w:i w:val="true"/>
          <w:color w:val="000000"/>
          <w:spacing w:val="-1"/>
          <w:w w:val="100"/>
          <w:sz w:val="28"/>
          <w:u w:val="single"/>
          <w:vertAlign w:val="baseline"/>
          <w:lang w:val="en-US"/>
        </w:rPr>
        <w:t xml:space="preserve">specify</w:t>
      </w:r>
      <w:r>
        <w:rPr>
          <w:rFonts w:ascii="Arial" w:hAnsi="Arial" w:eastAsia="Arial"/>
          <w:color w:val="000000"/>
          <w:spacing w:val="-1"/>
          <w:w w:val="100"/>
          <w:sz w:val="28"/>
          <w:u w:val="single"/>
          <w:vertAlign w:val="baseline"/>
          <w:lang w:val="en-US"/>
        </w:rPr>
        <w:t xml:space="preserve">) </w:t>
      </w:r>
      <w:r>
        <w:rPr>
          <w:rFonts w:ascii="Arial" w:hAnsi="Arial" w:eastAsia="Arial"/>
          <w:color w:val="000000"/>
          <w:spacing w:val="-1"/>
          <w:w w:val="100"/>
          <w:sz w:val="28"/>
          <w:vertAlign w:val="baseline"/>
          <w:lang w:val="en-US"/>
        </w:rPr>
        <w:t xml:space="preserve"> count is Murder in the First Degree.</w:t>
      </w:r>
    </w:p>
    <w:p>
      <w:pPr>
        <w:pageBreakBefore w:val="false"/>
        <w:spacing w:before="319"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defendant is guilty of Murder in the First Degree when, with intent to cause the death of another person, the defendant causes the death of such person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of a third person]</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28"/>
          <w:vertAlign w:val="baseline"/>
          <w:lang w:val="en-US"/>
        </w:rPr>
        <w:t xml:space="preserve">, and the intended victim was a police officer who was at the time of the killing engaged in the course of performing his or her official duties, and the defendant knew or reasonably should have known that the intended victim was a police officer, and the defendant was more than eighteen (18) years old at the time of the commission of the crime.</w:t>
      </w:r>
    </w:p>
    <w:p>
      <w:pPr>
        <w:pageBreakBefore w:val="false"/>
        <w:spacing w:before="322"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1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 Thus, a person acts with intent to cause the death of another person when his or her conscious objective or purpose is to cause the death of that person.</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344" w:after="0" w:line="317"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KNOWS that his or her intended victim is a police officer when he or she is aware that such intended victim is a police officer.</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337" w:after="418" w:line="324"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REASONABLY SHOULD KNOW that his or her</w:t>
      </w:r>
    </w:p>
    <w:p>
      <w:pPr>
        <w:pageBreakBefore w:val="false"/>
        <w:spacing w:before="293" w:after="0" w:line="276" w:lineRule="exact"/>
        <w:ind w:right="288" w:left="0" w:firstLine="216"/>
        <w:jc w:val="left"/>
        <w:textAlignment w:val="baseline"/>
        <w:rPr>
          <w:rFonts w:ascii="Arial" w:hAnsi="Arial" w:eastAsia="Arial"/>
          <w:color w:val="000000"/>
          <w:spacing w:val="0"/>
          <w:w w:val="100"/>
          <w:sz w:val="17"/>
          <w:vertAlign w:val="superscript"/>
          <w:lang w:val="en-US"/>
        </w:rPr>
      </w:pPr>
      <w:r>
        <w:pict>
          <v:line strokeweight="1.2pt" strokecolor="#000000" from="108pt,614.4pt" to="252.05pt,614.4pt" style="position:absolute;mso-position-horizontal-relative:page;mso-position-vertical-relative:page;">
            <v:stroke dashstyle="solid"/>
          </v:line>
        </w:pict>
      </w:r>
      <w:r>
        <w:rPr>
          <w:rFonts w:ascii="Arial" w:hAnsi="Arial" w:eastAsia="Arial"/>
          <w:color w:val="000000"/>
          <w:spacing w:val="0"/>
          <w:w w:val="100"/>
          <w:sz w:val="17"/>
          <w:vertAlign w:val="superscript"/>
          <w:lang w:val="en-US"/>
        </w:rPr>
        <w:t xml:space="preserve">1</w:t>
      </w:r>
      <w:r>
        <w:rPr>
          <w:rFonts w:ascii="Arial" w:hAnsi="Arial" w:eastAsia="Arial"/>
          <w:color w:val="000000"/>
          <w:spacing w:val="0"/>
          <w:w w:val="100"/>
          <w:sz w:val="23"/>
          <w:vertAlign w:val="baseline"/>
          <w:lang w:val="en-US"/>
        </w:rPr>
        <w:t xml:space="preserve">If transferred intent applies and is in issue, see the definition of transferred intent in the Additional Charges at the end of this article.</w:t>
      </w:r>
    </w:p>
    <w:p>
      <w:pPr>
        <w:pageBreakBefore w:val="false"/>
        <w:spacing w:before="229" w:after="0" w:line="276" w:lineRule="exact"/>
        <w:ind w:right="72" w:left="0" w:firstLine="216"/>
        <w:jc w:val="both"/>
        <w:textAlignment w:val="baseline"/>
        <w:rPr>
          <w:rFonts w:ascii="Arial" w:hAnsi="Arial" w:eastAsia="Arial"/>
          <w:color w:val="000000"/>
          <w:spacing w:val="0"/>
          <w:w w:val="100"/>
          <w:sz w:val="14"/>
          <w:vertAlign w:val="baseline"/>
          <w:lang w:val="en-US"/>
        </w:rPr>
      </w:pPr>
      <w:r>
        <w:rPr>
          <w:rFonts w:ascii="Arial" w:hAnsi="Arial" w:eastAsia="Arial"/>
          <w:color w:val="000000"/>
          <w:spacing w:val="0"/>
          <w:w w:val="100"/>
          <w:sz w:val="14"/>
          <w:vertAlign w:val="baseline"/>
          <w:lang w:val="en-US"/>
        </w:rPr>
        <w:t xml:space="preserve">2 </w:t>
      </w:r>
      <w:r>
        <w:rPr>
          <w:rFonts w:ascii="Arial" w:hAnsi="Arial" w:eastAsia="Arial"/>
          <w:i w:val="true"/>
          <w:color w:val="000000"/>
          <w:spacing w:val="0"/>
          <w:w w:val="100"/>
          <w:sz w:val="19"/>
          <w:vertAlign w:val="baseline"/>
          <w:lang w:val="en-US"/>
        </w:rPr>
        <w:t xml:space="preserve">See </w:t>
      </w:r>
      <w:r>
        <w:rPr>
          <w:rFonts w:ascii="Arial" w:hAnsi="Arial" w:eastAsia="Arial"/>
          <w:color w:val="000000"/>
          <w:spacing w:val="0"/>
          <w:w w:val="100"/>
          <w:sz w:val="19"/>
          <w:vertAlign w:val="baseline"/>
          <w:lang w:val="en-US"/>
        </w:rPr>
        <w:t xml:space="preserve">Penal Law § 15.05(1). </w:t>
      </w:r>
      <w:r>
        <w:rPr>
          <w:rFonts w:ascii="Arial" w:hAnsi="Arial" w:eastAsia="Arial"/>
          <w:color w:val="000000"/>
          <w:spacing w:val="0"/>
          <w:w w:val="100"/>
          <w:sz w:val="24"/>
          <w:vertAlign w:val="baseline"/>
          <w:lang w:val="en-US"/>
        </w:rPr>
        <w:t xml:space="preserve">For an expanded charge on intent, see General Charges, Culpable Mental States, Intent.</w:t>
      </w:r>
    </w:p>
    <w:p>
      <w:pPr>
        <w:pageBreakBefore w:val="false"/>
        <w:spacing w:before="206" w:after="0" w:line="293" w:lineRule="exact"/>
        <w:ind w:right="0" w:left="216" w:firstLine="0"/>
        <w:jc w:val="left"/>
        <w:textAlignment w:val="baseline"/>
        <w:rPr>
          <w:rFonts w:ascii="Arial" w:hAnsi="Arial" w:eastAsia="Arial"/>
          <w:color w:val="000000"/>
          <w:spacing w:val="-2"/>
          <w:w w:val="100"/>
          <w:sz w:val="17"/>
          <w:vertAlign w:val="baseline"/>
          <w:lang w:val="en-US"/>
        </w:rPr>
      </w:pPr>
      <w:r>
        <w:rPr>
          <w:rFonts w:ascii="Arial" w:hAnsi="Arial" w:eastAsia="Arial"/>
          <w:color w:val="000000"/>
          <w:spacing w:val="-2"/>
          <w:w w:val="100"/>
          <w:sz w:val="17"/>
          <w:vertAlign w:val="baseline"/>
          <w:lang w:val="en-US"/>
        </w:rPr>
        <w:t xml:space="preserve">3 </w:t>
      </w:r>
      <w:r>
        <w:rPr>
          <w:rFonts w:ascii="Arial" w:hAnsi="Arial" w:eastAsia="Arial"/>
          <w:i w:val="true"/>
          <w:color w:val="000000"/>
          <w:spacing w:val="-2"/>
          <w:w w:val="100"/>
          <w:sz w:val="23"/>
          <w:vertAlign w:val="baseline"/>
          <w:lang w:val="en-US"/>
        </w:rPr>
        <w:t xml:space="preserve">See, </w:t>
      </w:r>
      <w:r>
        <w:rPr>
          <w:rFonts w:ascii="Arial" w:hAnsi="Arial" w:eastAsia="Arial"/>
          <w:color w:val="000000"/>
          <w:spacing w:val="-2"/>
          <w:w w:val="100"/>
          <w:sz w:val="23"/>
          <w:vertAlign w:val="baseline"/>
          <w:lang w:val="en-US"/>
        </w:rPr>
        <w:t xml:space="preserve">Penal Law § 15.05(2).</w:t>
      </w:r>
    </w:p>
    <w:p>
      <w:pPr>
        <w:sectPr>
          <w:type w:val="nextPage"/>
          <w:pgSz w:w="12240" w:h="15840" w:orient="portrait"/>
          <w:pgMar w:bottom="1004" w:top="1440" w:right="2140" w:left="2160" w:header="720" w:footer="720"/>
          <w:titlePg w:val="false"/>
          <w:textDirection w:val="lrTb"/>
        </w:sectPr>
      </w:pPr>
    </w:p>
    <w:p>
      <w:pPr>
        <w:pageBreakBefore w:val="false"/>
        <w:spacing w:before="6" w:after="0" w:line="322" w:lineRule="exact"/>
        <w:ind w:right="72"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intended victim is a police officer if, in the same circumstances, a reasonable person in the same position and possessing the same knowledge, would know that such intended victim is a police officer.</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spacing w:before="340" w:after="0" w:line="318"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police officer is engaged in the course of performing his or her OFFICIAL DUTIES when he or she is acting pursuant to his or her occupation as a police officer, rather than as a private citizen.</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17"/>
          <w:vertAlign w:val="baseline"/>
          <w:lang w:val="en-US"/>
        </w:rPr>
        <w:t xml:space="preserve">
</w:t>
      </w:r>
    </w:p>
    <w:p>
      <w:pPr>
        <w:pageBreakBefore w:val="false"/>
        <w:spacing w:before="336" w:after="0" w:line="326" w:lineRule="exact"/>
        <w:ind w:right="72"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five elements:</w:t>
      </w:r>
    </w:p>
    <w:p>
      <w:pPr>
        <w:pageBreakBefore w:val="false"/>
        <w:numPr>
          <w:ilvl w:val="0"/>
          <w:numId w:val="1"/>
        </w:numPr>
        <w:tabs>
          <w:tab w:val="clear" w:pos="720"/>
          <w:tab w:val="left" w:pos="1440"/>
        </w:tabs>
        <w:spacing w:before="318" w:after="0" w:line="326" w:lineRule="exact"/>
        <w:ind w:right="72"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3"/>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3"/>
          <w:u w:val="single"/>
          <w:vertAlign w:val="baseline"/>
          <w:lang w:val="en-US"/>
        </w:rPr>
        <w:t xml:space="preserve"> (county) </w:t>
      </w:r>
      <w:r>
        <w:rPr>
          <w:rFonts w:ascii="Arial" w:hAnsi="Arial" w:eastAsia="Arial"/>
          <w:color w:val="000000"/>
          <w:spacing w:val="0"/>
          <w:w w:val="100"/>
          <w:sz w:val="28"/>
          <w:vertAlign w:val="baseline"/>
          <w:lang w:val="en-US"/>
        </w:rPr>
        <w:t xml:space="preserve"> , the defendant, </w:t>
      </w:r>
      <w:r>
        <w:rPr>
          <w:rFonts w:ascii="Arial" w:hAnsi="Arial" w:eastAsia="Arial"/>
          <w:i w:val="true"/>
          <w:color w:val="000000"/>
          <w:spacing w:val="0"/>
          <w:w w:val="100"/>
          <w:sz w:val="23"/>
          <w:u w:val="single"/>
          <w:vertAlign w:val="baseline"/>
          <w:lang w:val="en-US"/>
        </w:rPr>
        <w:t xml:space="preserve"> (defendant's name) </w:t>
      </w:r>
      <w:r>
        <w:rPr>
          <w:rFonts w:ascii="Arial" w:hAnsi="Arial" w:eastAsia="Arial"/>
          <w:color w:val="000000"/>
          <w:spacing w:val="0"/>
          <w:w w:val="100"/>
          <w:sz w:val="28"/>
          <w:vertAlign w:val="baseline"/>
          <w:lang w:val="en-US"/>
        </w:rPr>
        <w:t xml:space="preserve"> , caused the death of </w:t>
      </w:r>
      <w:r>
        <w:rPr>
          <w:rFonts w:ascii="Arial" w:hAnsi="Arial" w:eastAsia="Arial"/>
          <w:i w:val="true"/>
          <w:color w:val="000000"/>
          <w:spacing w:val="0"/>
          <w:w w:val="100"/>
          <w:sz w:val="23"/>
          <w:u w:val="single"/>
          <w:vertAlign w:val="baseline"/>
          <w:lang w:val="en-US"/>
        </w:rPr>
        <w:t xml:space="preserve">(actual victim) </w:t>
      </w:r>
      <w:r>
        <w:rPr>
          <w:rFonts w:ascii="Arial" w:hAnsi="Arial" w:eastAsia="Arial"/>
          <w:color w:val="000000"/>
          <w:spacing w:val="0"/>
          <w:w w:val="100"/>
          <w:sz w:val="28"/>
          <w:vertAlign w:val="baseline"/>
          <w:lang w:val="en-US"/>
        </w:rPr>
        <w:t xml:space="preserve"> ;</w:t>
      </w:r>
    </w:p>
    <w:p>
      <w:pPr>
        <w:pageBreakBefore w:val="false"/>
        <w:numPr>
          <w:ilvl w:val="0"/>
          <w:numId w:val="1"/>
        </w:numPr>
        <w:tabs>
          <w:tab w:val="clear" w:pos="720"/>
          <w:tab w:val="left" w:pos="1440"/>
        </w:tabs>
        <w:spacing w:before="316" w:after="0" w:line="327" w:lineRule="exact"/>
        <w:ind w:right="72"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with the intent to cause the death of </w:t>
      </w:r>
      <w:r>
        <w:rPr>
          <w:rFonts w:ascii="Arial" w:hAnsi="Arial" w:eastAsia="Arial"/>
          <w:i w:val="true"/>
          <w:color w:val="000000"/>
          <w:spacing w:val="0"/>
          <w:w w:val="100"/>
          <w:sz w:val="23"/>
          <w:u w:val="single"/>
          <w:vertAlign w:val="baseline"/>
          <w:lang w:val="en-US"/>
        </w:rPr>
        <w:t xml:space="preserve">(intended victim) </w:t>
      </w:r>
      <w:r>
        <w:rPr>
          <w:rFonts w:ascii="Arial" w:hAnsi="Arial" w:eastAsia="Arial"/>
          <w:color w:val="000000"/>
          <w:spacing w:val="0"/>
          <w:w w:val="100"/>
          <w:sz w:val="28"/>
          <w:vertAlign w:val="baseline"/>
          <w:lang w:val="en-US"/>
        </w:rPr>
        <w:t xml:space="preserve"> ;</w:t>
      </w:r>
    </w:p>
    <w:p>
      <w:pPr>
        <w:pageBreakBefore w:val="false"/>
        <w:numPr>
          <w:ilvl w:val="0"/>
          <w:numId w:val="1"/>
        </w:numPr>
        <w:tabs>
          <w:tab w:val="clear" w:pos="720"/>
          <w:tab w:val="left" w:pos="1440"/>
        </w:tabs>
        <w:spacing w:before="324" w:after="0" w:line="324" w:lineRule="exact"/>
        <w:ind w:right="72"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at the time of the killing, </w:t>
      </w:r>
      <w:r>
        <w:rPr>
          <w:rFonts w:ascii="Arial" w:hAnsi="Arial" w:eastAsia="Arial"/>
          <w:i w:val="true"/>
          <w:color w:val="000000"/>
          <w:spacing w:val="0"/>
          <w:w w:val="100"/>
          <w:sz w:val="23"/>
          <w:u w:val="single"/>
          <w:vertAlign w:val="baseline"/>
          <w:lang w:val="en-US"/>
        </w:rPr>
        <w:t xml:space="preserve"> (intended victim) </w:t>
      </w:r>
      <w:r>
        <w:rPr>
          <w:rFonts w:ascii="Arial" w:hAnsi="Arial" w:eastAsia="Arial"/>
          <w:color w:val="000000"/>
          <w:spacing w:val="0"/>
          <w:w w:val="100"/>
          <w:sz w:val="28"/>
          <w:vertAlign w:val="baseline"/>
          <w:lang w:val="en-US"/>
        </w:rPr>
        <w:t xml:space="preserve"> was a police officer engaged in the course of performing his/her official duties;</w:t>
      </w:r>
    </w:p>
    <w:p>
      <w:pPr>
        <w:pageBreakBefore w:val="false"/>
        <w:numPr>
          <w:ilvl w:val="0"/>
          <w:numId w:val="1"/>
        </w:numPr>
        <w:tabs>
          <w:tab w:val="clear" w:pos="720"/>
          <w:tab w:val="left" w:pos="1440"/>
        </w:tabs>
        <w:spacing w:before="324" w:after="0" w:line="324" w:lineRule="exact"/>
        <w:ind w:right="72"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at the time of the killing, the defendant knew or reasonably should have known that </w:t>
      </w:r>
      <w:r>
        <w:rPr>
          <w:rFonts w:ascii="Arial" w:hAnsi="Arial" w:eastAsia="Arial"/>
          <w:i w:val="true"/>
          <w:color w:val="000000"/>
          <w:spacing w:val="0"/>
          <w:w w:val="100"/>
          <w:sz w:val="23"/>
          <w:u w:val="single"/>
          <w:vertAlign w:val="baseline"/>
          <w:lang w:val="en-US"/>
        </w:rPr>
        <w:t xml:space="preserve"> (intended victim)  </w:t>
      </w:r>
      <w:r>
        <w:rPr>
          <w:rFonts w:ascii="Arial" w:hAnsi="Arial" w:eastAsia="Arial"/>
          <w:color w:val="000000"/>
          <w:spacing w:val="0"/>
          <w:w w:val="100"/>
          <w:sz w:val="28"/>
          <w:vertAlign w:val="baseline"/>
          <w:lang w:val="en-US"/>
        </w:rPr>
        <w:t xml:space="preserve">was a police officer; and</w:t>
      </w:r>
    </w:p>
    <w:p>
      <w:pPr>
        <w:pageBreakBefore w:val="false"/>
        <w:numPr>
          <w:ilvl w:val="0"/>
          <w:numId w:val="1"/>
        </w:numPr>
        <w:tabs>
          <w:tab w:val="clear" w:pos="720"/>
          <w:tab w:val="left" w:pos="1440"/>
        </w:tabs>
        <w:spacing w:before="329" w:after="541" w:line="319" w:lineRule="exact"/>
        <w:ind w:right="72" w:left="1440" w:hanging="720"/>
        <w:jc w:val="both"/>
        <w:textAlignment w:val="baseline"/>
        <w:rPr>
          <w:rFonts w:ascii="Arial" w:hAnsi="Arial" w:eastAsia="Arial"/>
          <w:color w:val="000000"/>
          <w:spacing w:val="7"/>
          <w:w w:val="100"/>
          <w:sz w:val="28"/>
          <w:vertAlign w:val="baseline"/>
          <w:lang w:val="en-US"/>
        </w:rPr>
      </w:pPr>
      <w:r>
        <w:rPr>
          <w:rFonts w:ascii="Arial" w:hAnsi="Arial" w:eastAsia="Arial"/>
          <w:color w:val="000000"/>
          <w:spacing w:val="7"/>
          <w:w w:val="100"/>
          <w:sz w:val="28"/>
          <w:vertAlign w:val="baseline"/>
          <w:lang w:val="en-US"/>
        </w:rPr>
        <w:t xml:space="preserve">That the defendant was more than eighteen (18)</w:t>
      </w:r>
    </w:p>
    <w:p>
      <w:pPr>
        <w:pageBreakBefore w:val="false"/>
        <w:spacing w:before="305" w:after="0" w:line="260" w:lineRule="exact"/>
        <w:ind w:right="72" w:left="288" w:firstLine="0"/>
        <w:jc w:val="left"/>
        <w:textAlignment w:val="baseline"/>
        <w:rPr>
          <w:rFonts w:ascii="Arial" w:hAnsi="Arial" w:eastAsia="Arial"/>
          <w:color w:val="000000"/>
          <w:spacing w:val="-2"/>
          <w:w w:val="100"/>
          <w:sz w:val="17"/>
          <w:vertAlign w:val="superscript"/>
          <w:lang w:val="en-US"/>
        </w:rPr>
      </w:pPr>
      <w:r>
        <w:pict>
          <v:line strokeweight="0.95pt" strokecolor="#000000" from="108pt,586.1pt" to="252.05pt,586.1pt" style="position:absolute;mso-position-horizontal-relative:page;mso-position-vertical-relative:page;">
            <v:stroke dashstyle="solid"/>
          </v:line>
        </w:pict>
      </w:r>
      <w:r>
        <w:rPr>
          <w:rFonts w:ascii="Arial" w:hAnsi="Arial" w:eastAsia="Arial"/>
          <w:color w:val="000000"/>
          <w:spacing w:val="-2"/>
          <w:w w:val="100"/>
          <w:sz w:val="17"/>
          <w:vertAlign w:val="superscript"/>
          <w:lang w:val="en-US"/>
        </w:rPr>
        <w:t xml:space="preserve">4</w:t>
      </w:r>
      <w:r>
        <w:rPr>
          <w:rFonts w:ascii="Arial" w:hAnsi="Arial" w:eastAsia="Arial"/>
          <w:i w:val="true"/>
          <w:color w:val="000000"/>
          <w:spacing w:val="-2"/>
          <w:w w:val="100"/>
          <w:sz w:val="23"/>
          <w:vertAlign w:val="baseline"/>
          <w:lang w:val="en-US"/>
        </w:rPr>
        <w:t xml:space="preserve">Cf., People v. Goetz, </w:t>
      </w:r>
      <w:r>
        <w:rPr>
          <w:rFonts w:ascii="Arial" w:hAnsi="Arial" w:eastAsia="Arial"/>
          <w:color w:val="000000"/>
          <w:spacing w:val="-2"/>
          <w:w w:val="100"/>
          <w:sz w:val="23"/>
          <w:vertAlign w:val="baseline"/>
          <w:lang w:val="en-US"/>
        </w:rPr>
        <w:t xml:space="preserve">68 NY2d 96 (1986).</w:t>
      </w:r>
    </w:p>
    <w:p>
      <w:pPr>
        <w:pageBreakBefore w:val="false"/>
        <w:spacing w:before="307" w:after="0" w:line="260" w:lineRule="exact"/>
        <w:ind w:right="72" w:left="0" w:firstLine="288"/>
        <w:jc w:val="left"/>
        <w:textAlignment w:val="baseline"/>
        <w:rPr>
          <w:rFonts w:ascii="Arial" w:hAnsi="Arial" w:eastAsia="Arial"/>
          <w:color w:val="000000"/>
          <w:spacing w:val="0"/>
          <w:w w:val="100"/>
          <w:sz w:val="17"/>
          <w:vertAlign w:val="superscript"/>
          <w:lang w:val="en-US"/>
        </w:rPr>
      </w:pPr>
      <w:r>
        <w:rPr>
          <w:rFonts w:ascii="Arial" w:hAnsi="Arial" w:eastAsia="Arial"/>
          <w:color w:val="000000"/>
          <w:spacing w:val="0"/>
          <w:w w:val="100"/>
          <w:sz w:val="17"/>
          <w:vertAlign w:val="superscript"/>
          <w:lang w:val="en-US"/>
        </w:rPr>
        <w:t xml:space="preserve">5</w:t>
      </w:r>
      <w:r>
        <w:rPr>
          <w:rFonts w:ascii="Arial" w:hAnsi="Arial" w:eastAsia="Arial"/>
          <w:i w:val="true"/>
          <w:color w:val="000000"/>
          <w:spacing w:val="0"/>
          <w:w w:val="100"/>
          <w:sz w:val="23"/>
          <w:vertAlign w:val="baseline"/>
          <w:lang w:val="en-US"/>
        </w:rPr>
        <w:t xml:space="preserve">See, People v. Davis, </w:t>
      </w:r>
      <w:r>
        <w:rPr>
          <w:rFonts w:ascii="Arial" w:hAnsi="Arial" w:eastAsia="Arial"/>
          <w:color w:val="000000"/>
          <w:spacing w:val="0"/>
          <w:w w:val="100"/>
          <w:sz w:val="23"/>
          <w:vertAlign w:val="baseline"/>
          <w:lang w:val="en-US"/>
        </w:rPr>
        <w:t xml:space="preserve">43 NY2d 17 (1977); </w:t>
      </w:r>
      <w:r>
        <w:rPr>
          <w:rFonts w:ascii="Arial" w:hAnsi="Arial" w:eastAsia="Arial"/>
          <w:i w:val="true"/>
          <w:color w:val="000000"/>
          <w:spacing w:val="0"/>
          <w:w w:val="100"/>
          <w:sz w:val="23"/>
          <w:vertAlign w:val="baseline"/>
          <w:lang w:val="en-US"/>
        </w:rPr>
        <w:t xml:space="preserve">People v. Woods, </w:t>
      </w:r>
      <w:r>
        <w:rPr>
          <w:rFonts w:ascii="Arial" w:hAnsi="Arial" w:eastAsia="Arial"/>
          <w:color w:val="000000"/>
          <w:spacing w:val="0"/>
          <w:w w:val="100"/>
          <w:sz w:val="23"/>
          <w:vertAlign w:val="baseline"/>
          <w:lang w:val="en-US"/>
        </w:rPr>
        <w:t xml:space="preserve">141 AD2d 684 (2nd Dept. 1988); </w:t>
      </w:r>
      <w:r>
        <w:rPr>
          <w:rFonts w:ascii="Arial" w:hAnsi="Arial" w:eastAsia="Arial"/>
          <w:i w:val="true"/>
          <w:color w:val="000000"/>
          <w:spacing w:val="0"/>
          <w:w w:val="100"/>
          <w:sz w:val="23"/>
          <w:vertAlign w:val="baseline"/>
          <w:lang w:val="en-US"/>
        </w:rPr>
        <w:t xml:space="preserve">People v. Lanzot, </w:t>
      </w:r>
      <w:r>
        <w:rPr>
          <w:rFonts w:ascii="Arial" w:hAnsi="Arial" w:eastAsia="Arial"/>
          <w:color w:val="000000"/>
          <w:spacing w:val="0"/>
          <w:w w:val="100"/>
          <w:sz w:val="23"/>
          <w:vertAlign w:val="baseline"/>
          <w:lang w:val="en-US"/>
        </w:rPr>
        <w:t xml:space="preserve">67 AD2d 864 (1st Dept. 1979). This general definition is based on limited existing case law, and may need to be modified or amplified in light of the facts of the individual case and the arguments of the parties.</w:t>
      </w:r>
    </w:p>
    <w:p>
      <w:pPr>
        <w:pageBreakBefore w:val="false"/>
        <w:spacing w:before="248" w:after="0" w:line="271" w:lineRule="exact"/>
        <w:ind w:right="72" w:left="0" w:firstLine="0"/>
        <w:jc w:val="center"/>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2</w:t>
      </w:r>
    </w:p>
    <w:p>
      <w:pPr>
        <w:sectPr>
          <w:type w:val="nextPage"/>
          <w:pgSz w:w="12240" w:h="15840" w:orient="portrait"/>
          <w:pgMar w:bottom="1024" w:top="1440" w:right="2080" w:left="2160" w:header="720" w:footer="720"/>
          <w:titlePg w:val="false"/>
          <w:textDirection w:val="lrTb"/>
        </w:sectPr>
      </w:pPr>
    </w:p>
    <w:p>
      <w:pPr>
        <w:pageBreakBefore w:val="false"/>
        <w:spacing w:before="8" w:after="0" w:line="320" w:lineRule="exact"/>
        <w:ind w:right="0" w:left="0" w:firstLine="0"/>
        <w:jc w:val="righ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years old at the time of the commission of the crime.</w:t>
      </w:r>
    </w:p>
    <w:p>
      <w:pPr>
        <w:pageBreakBefore w:val="false"/>
        <w:spacing w:before="329"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8"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324" w:after="8150" w:line="323" w:lineRule="exact"/>
        <w:ind w:right="0" w:left="0" w:firstLine="0"/>
        <w:jc w:val="both"/>
        <w:textAlignment w:val="baseline"/>
        <w:rPr>
          <w:rFonts w:ascii="Arial" w:hAnsi="Arial" w:eastAsia="Arial"/>
          <w:i w:val="true"/>
          <w:color w:val="000000"/>
          <w:spacing w:val="-2"/>
          <w:w w:val="100"/>
          <w:sz w:val="28"/>
          <w:vertAlign w:val="baseline"/>
          <w:lang w:val="en-US"/>
        </w:rPr>
      </w:pPr>
      <w:r>
        <w:rPr>
          <w:rFonts w:ascii="Arial" w:hAnsi="Arial" w:eastAsia="Arial"/>
          <w:i w:val="true"/>
          <w:color w:val="000000"/>
          <w:spacing w:val="-2"/>
          <w:w w:val="100"/>
          <w:sz w:val="28"/>
          <w:vertAlign w:val="baseline"/>
          <w:lang w:val="en-US"/>
        </w:rPr>
        <w:t xml:space="preserve">[NOTE: If either of the affirmative defenses -- Extreme Emotional Disturbance (§ 125.27(2)(a)) or Aiding a Suicide (§ 125.27(2)(b)) -- applies, omit the final two paragraphs of the above charge, and substitute one of the charges at the end of this article.]</w:t>
      </w:r>
    </w:p>
    <w:p>
      <w:pPr>
        <w:spacing w:before="324" w:after="8150" w:line="323" w:lineRule="exact"/>
        <w:sectPr>
          <w:type w:val="nextPage"/>
          <w:pgSz w:w="12240" w:h="15840" w:orient="portrait"/>
          <w:pgMar w:bottom="1024" w:top="1440" w:right="2110" w:left="2130" w:header="720" w:footer="720"/>
          <w:titlePg w:val="false"/>
          <w:textDirection w:val="lrTb"/>
        </w:sectPr>
      </w:pPr>
    </w:p>
    <w:p>
      <w:pPr>
        <w:pageBreakBefore w:val="false"/>
        <w:spacing w:before="0" w:after="0" w:line="265" w:lineRule="exact"/>
        <w:ind w:right="0" w:left="0" w:firstLine="0"/>
        <w:jc w:val="center"/>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3</w:t>
      </w:r>
    </w:p>
    <w:sectPr>
      <w:type w:val="continuous"/>
      <w:pgSz w:w="12240" w:h="15840" w:orient="portrait"/>
      <w:pgMar w:bottom="1024" w:top="1440" w:right="2125" w:left="211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