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21" w:lineRule="exact"/>
        <w:ind w:right="0" w:left="0" w:firstLine="0"/>
        <w:jc w:val="center"/>
        <w:textAlignment w:val="baseline"/>
        <w:rPr>
          <w:rFonts w:ascii="Arial" w:hAnsi="Arial" w:eastAsia="Arial"/>
          <w:b w:val="true"/>
          <w:color w:val="000000"/>
          <w:spacing w:val="-2"/>
          <w:w w:val="100"/>
          <w:sz w:val="28"/>
          <w:vertAlign w:val="baseline"/>
          <w:lang w:val="en-US"/>
        </w:rPr>
      </w:pPr>
      <w:r>
        <w:rPr>
          <w:rFonts w:ascii="Arial" w:hAnsi="Arial" w:eastAsia="Arial"/>
          <w:b w:val="true"/>
          <w:color w:val="000000"/>
          <w:spacing w:val="-2"/>
          <w:w w:val="100"/>
          <w:sz w:val="28"/>
          <w:vertAlign w:val="baseline"/>
          <w:lang w:val="en-US"/>
        </w:rPr>
        <w:t xml:space="preserve">MURDER IN THE SECOND DEGREE</w:t>
      </w:r>
    </w:p>
    <w:p>
      <w:pPr>
        <w:pageBreakBefore w:val="false"/>
        <w:spacing w:before="84" w:after="0" w:line="32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(Intentional Homicide in Course of</w:t>
        <w:br/>
      </w:r>
      <w:r>
        <w:rPr>
          <w:rFonts w:ascii="Arial" w:hAnsi="Arial" w:eastAsia="Arial"/>
          <w:b w:val="true"/>
          <w:color w:val="000000"/>
          <w:spacing w:val="0"/>
          <w:w w:val="100"/>
          <w:sz w:val="28"/>
          <w:vertAlign w:val="baseline"/>
          <w:lang w:val="en-US"/>
        </w:rPr>
        <w:t xml:space="preserve">Sex Offense)</w:t>
        <w:br/>
      </w:r>
      <w:r>
        <w:rPr>
          <w:rFonts w:ascii="Arial" w:hAnsi="Arial" w:eastAsia="Arial"/>
          <w:b w:val="true"/>
          <w:color w:val="000000"/>
          <w:spacing w:val="0"/>
          <w:w w:val="100"/>
          <w:sz w:val="28"/>
          <w:vertAlign w:val="baseline"/>
          <w:lang w:val="en-US"/>
        </w:rPr>
        <w:t xml:space="preserve">Penal Law § 125.25(5)</w:t>
        <w:br/>
      </w:r>
      <w:r>
        <w:rPr>
          <w:rFonts w:ascii="Arial" w:hAnsi="Arial" w:eastAsia="Arial"/>
          <w:b w:val="true"/>
          <w:color w:val="000000"/>
          <w:spacing w:val="0"/>
          <w:w w:val="100"/>
          <w:sz w:val="28"/>
          <w:vertAlign w:val="baseline"/>
          <w:lang w:val="en-US"/>
        </w:rPr>
        <w:t xml:space="preserve">(Committed on or after November 1, 2004)</w:t>
      </w:r>
    </w:p>
    <w:p>
      <w:pPr>
        <w:pageBreakBefore w:val="false"/>
        <w:spacing w:before="644"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Murder in the Second Degree.</w:t>
      </w:r>
    </w:p>
    <w:p>
      <w:pPr>
        <w:pageBreakBefore w:val="false"/>
        <w:spacing w:before="323" w:after="0" w:line="321"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Murder in the Second Degree when, being eighteen years old or more, while in the course of committing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against a person less than fourteen years old, he or she intentionally causes the death of such person.</w:t>
      </w:r>
    </w:p>
    <w:p>
      <w:pPr>
        <w:pageBreakBefore w:val="false"/>
        <w:spacing w:before="322" w:after="0" w:line="321"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509"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Thus, a person INTENTIONALLY causes the death of another when that person’s conscious objective or purpose is to cause the death of another.</w:t>
      </w:r>
    </w:p>
    <w:p>
      <w:pPr>
        <w:pageBreakBefore w:val="false"/>
        <w:spacing w:before="239" w:after="0" w:line="320" w:lineRule="exact"/>
        <w:ind w:right="0" w:left="0" w:firstLine="0"/>
        <w:jc w:val="center"/>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Under our law, a person commits (</w:t>
      </w:r>
      <w:r>
        <w:rPr>
          <w:rFonts w:ascii="Arial" w:hAnsi="Arial" w:eastAsia="Arial"/>
          <w:i w:val="true"/>
          <w:color w:val="000000"/>
          <w:spacing w:val="-1"/>
          <w:w w:val="100"/>
          <w:sz w:val="28"/>
          <w:u w:val="single"/>
          <w:vertAlign w:val="baseline"/>
          <w:lang w:val="en-US"/>
        </w:rPr>
        <w:t xml:space="preserve">specify</w:t>
      </w:r>
      <w:r>
        <w:rPr>
          <w:rFonts w:ascii="Arial" w:hAnsi="Arial" w:eastAsia="Arial"/>
          <w:color w:val="000000"/>
          <w:spacing w:val="-1"/>
          <w:w w:val="100"/>
          <w:sz w:val="28"/>
          <w:vertAlign w:val="baseline"/>
          <w:lang w:val="en-US"/>
        </w:rPr>
        <w:t xml:space="preserve">) when:</w:t>
      </w:r>
    </w:p>
    <w:p>
      <w:pPr>
        <w:pageBreakBefore w:val="false"/>
        <w:spacing w:before="244" w:after="0" w:line="320"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Here, cross-reference to the applicable definition in a previously explained count, or now read statutory definition of applicable offense and any defined terms and applicable charges as set forth in CJI2d for that offense.</w:t>
      </w:r>
      <w:r>
        <w:rPr>
          <w:rFonts w:ascii="Arial" w:hAnsi="Arial" w:eastAsia="Arial"/>
          <w:color w:val="000000"/>
          <w:spacing w:val="0"/>
          <w:w w:val="100"/>
          <w:sz w:val="28"/>
          <w:vertAlign w:val="baseline"/>
          <w:lang w:val="en-US"/>
        </w:rPr>
        <w:t xml:space="preserve">]</w:t>
      </w:r>
    </w:p>
    <w:p>
      <w:pPr>
        <w:pageBreakBefore w:val="false"/>
        <w:spacing w:before="246" w:after="672" w:line="321" w:lineRule="exact"/>
        <w:ind w:right="72"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It is not a defense to this charge that the actor did not know that the other person was less than fourteen (14) years old, or that</w:t>
      </w:r>
    </w:p>
    <w:p>
      <w:pPr>
        <w:pageBreakBefore w:val="false"/>
        <w:spacing w:before="249" w:after="0" w:line="276" w:lineRule="exact"/>
        <w:ind w:right="72" w:left="0" w:firstLine="0"/>
        <w:jc w:val="left"/>
        <w:textAlignment w:val="baseline"/>
        <w:rPr>
          <w:rFonts w:ascii="Times New Roman" w:hAnsi="Times New Roman" w:eastAsia="Times New Roman"/>
          <w:color w:val="000000"/>
          <w:spacing w:val="-1"/>
          <w:w w:val="100"/>
          <w:sz w:val="14"/>
          <w:vertAlign w:val="superscript"/>
          <w:lang w:val="en-US"/>
        </w:rPr>
      </w:pPr>
      <w:r>
        <w:pict>
          <v:line strokeweight="0.7pt" strokecolor="#000000" from="107.75pt,604.55pt" to="252.05pt,604.55pt" style="position:absolute;mso-position-horizontal-relative:page;mso-position-vertical-relative:page;">
            <v:stroke dashstyle="solid"/>
          </v:line>
        </w:pict>
      </w:r>
      <w:r>
        <w:rPr>
          <w:rFonts w:ascii="Times New Roman" w:hAnsi="Times New Roman" w:eastAsia="Times New Roman"/>
          <w:color w:val="000000"/>
          <w:spacing w:val="-1"/>
          <w:w w:val="100"/>
          <w:sz w:val="14"/>
          <w:vertAlign w:val="superscript"/>
          <w:lang w:val="en-US"/>
        </w:rPr>
        <w:t xml:space="preserve">1</w:t>
      </w:r>
      <w:r>
        <w:rPr>
          <w:rFonts w:ascii="Arial" w:hAnsi="Arial" w:eastAsia="Arial"/>
          <w:color w:val="000000"/>
          <w:spacing w:val="-1"/>
          <w:w w:val="100"/>
          <w:sz w:val="24"/>
          <w:vertAlign w:val="baseline"/>
          <w:lang w:val="en-US"/>
        </w:rPr>
        <w:t xml:space="preserve">The statute specifies the following offenses: “rape in the first, second or third degree, criminal sexual act in the first, second or third degree, sexual abuse in the first degree, aggravated sexual abuse in the first, second, third or fourth degree, or incest.” By definition, the statute includes incest in the first, second and third degrees which were so designated effective November 1, 2006, after the enactment of PL §125.25(4).</w:t>
      </w:r>
    </w:p>
    <w:p>
      <w:pPr>
        <w:pageBreakBefore w:val="false"/>
        <w:spacing w:before="516" w:after="0" w:line="276"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sectPr>
          <w:type w:val="nextPage"/>
          <w:pgSz w:w="12240" w:h="15840" w:orient="portrait"/>
          <w:pgMar w:bottom="624" w:top="1080" w:right="2105" w:left="2155" w:header="720" w:footer="720"/>
          <w:titlePg w:val="false"/>
          <w:textDirection w:val="lrTb"/>
        </w:sectPr>
      </w:pPr>
    </w:p>
    <w:p>
      <w:pPr>
        <w:pageBreakBefore w:val="false"/>
        <w:spacing w:before="2"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actor believed that such person was fourteen (14) years old or more on the date of the crime.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8" w:after="0"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288"/>
          <w:tab w:val="left" w:pos="1800"/>
        </w:tabs>
        <w:spacing w:before="325" w:after="0" w:line="321" w:lineRule="exact"/>
        <w:ind w:right="0" w:left="151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 (defendant’s name)</w:t>
      </w:r>
      <w:r>
        <w:rPr>
          <w:rFonts w:ascii="Arial" w:hAnsi="Arial" w:eastAsia="Arial"/>
          <w:color w:val="000000"/>
          <w:spacing w:val="0"/>
          <w:w w:val="100"/>
          <w:sz w:val="28"/>
          <w:vertAlign w:val="baseline"/>
          <w:lang w:val="en-US"/>
        </w:rPr>
        <w:t xml:space="preserve">, while being eighteen years old or more, caused the death of </w:t>
      </w:r>
      <w:r>
        <w:rPr>
          <w:rFonts w:ascii="Arial" w:hAnsi="Arial" w:eastAsia="Arial"/>
          <w:i w:val="true"/>
          <w:color w:val="000000"/>
          <w:spacing w:val="0"/>
          <w:w w:val="100"/>
          <w:sz w:val="28"/>
          <w:u w:val="single"/>
          <w:vertAlign w:val="baseline"/>
          <w:lang w:val="en-US"/>
        </w:rPr>
        <w:t xml:space="preserve">(victim’s name)</w:t>
      </w:r>
      <w:r>
        <w:rPr>
          <w:rFonts w:ascii="Arial" w:hAnsi="Arial" w:eastAsia="Arial"/>
          <w:color w:val="000000"/>
          <w:spacing w:val="0"/>
          <w:w w:val="100"/>
          <w:sz w:val="28"/>
          <w:vertAlign w:val="baseline"/>
          <w:lang w:val="en-US"/>
        </w:rPr>
        <w:t xml:space="preserve"> who at the time was less than fourteen years old; and</w:t>
      </w:r>
    </w:p>
    <w:p>
      <w:pPr>
        <w:pageBreakBefore w:val="false"/>
        <w:numPr>
          <w:ilvl w:val="0"/>
          <w:numId w:val="1"/>
        </w:numPr>
        <w:tabs>
          <w:tab w:val="clear" w:pos="288"/>
          <w:tab w:val="left" w:pos="1800"/>
        </w:tabs>
        <w:spacing w:before="332" w:after="0" w:line="317" w:lineRule="exact"/>
        <w:ind w:right="0" w:left="151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cause the death of </w:t>
      </w:r>
      <w:r>
        <w:rPr>
          <w:rFonts w:ascii="Arial" w:hAnsi="Arial" w:eastAsia="Arial"/>
          <w:i w:val="true"/>
          <w:color w:val="000000"/>
          <w:spacing w:val="0"/>
          <w:w w:val="100"/>
          <w:sz w:val="28"/>
          <w:u w:val="single"/>
          <w:vertAlign w:val="baseline"/>
          <w:lang w:val="en-US"/>
        </w:rPr>
        <w:t xml:space="preserve">(victim’s name)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numPr>
          <w:ilvl w:val="0"/>
          <w:numId w:val="1"/>
        </w:numPr>
        <w:tabs>
          <w:tab w:val="clear" w:pos="288"/>
          <w:tab w:val="left" w:pos="1800"/>
        </w:tabs>
        <w:spacing w:before="323" w:after="0" w:line="321" w:lineRule="exact"/>
        <w:ind w:right="0" w:left="151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while in the course of committing (</w:t>
      </w:r>
      <w:r>
        <w:rPr>
          <w:rFonts w:ascii="Arial" w:hAnsi="Arial" w:eastAsia="Arial"/>
          <w:i w:val="true"/>
          <w:color w:val="000000"/>
          <w:spacing w:val="0"/>
          <w:w w:val="100"/>
          <w:sz w:val="28"/>
          <w:u w:val="single"/>
          <w:vertAlign w:val="baseline"/>
          <w:lang w:val="en-US"/>
        </w:rPr>
        <w:t xml:space="preserve">Specify name of crime</w:t>
      </w:r>
      <w:r>
        <w:rPr>
          <w:rFonts w:ascii="Arial" w:hAnsi="Arial" w:eastAsia="Arial"/>
          <w:color w:val="000000"/>
          <w:spacing w:val="0"/>
          <w:w w:val="100"/>
          <w:sz w:val="28"/>
          <w:vertAlign w:val="baseline"/>
          <w:lang w:val="en-US"/>
        </w:rPr>
        <w:t xml:space="preserve">) against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victim’s name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and</w:t>
      </w:r>
    </w:p>
    <w:p>
      <w:pPr>
        <w:pageBreakBefore w:val="false"/>
        <w:spacing w:before="31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6" w:after="4672"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6" w:after="4672" w:line="322" w:lineRule="exact"/>
        <w:sectPr>
          <w:type w:val="nextPage"/>
          <w:pgSz w:w="12240" w:h="15840" w:orient="portrait"/>
          <w:pgMar w:bottom="424" w:top="1080" w:right="2118" w:left="2142" w:header="720" w:footer="720"/>
          <w:titlePg w:val="false"/>
          <w:textDirection w:val="lrTb"/>
        </w:sectPr>
      </w:pPr>
    </w:p>
    <w:p>
      <w:pPr>
        <w:pageBreakBefore w:val="false"/>
        <w:spacing w:before="247" w:after="0" w:line="276" w:lineRule="exact"/>
        <w:ind w:right="0" w:left="0" w:firstLine="0"/>
        <w:jc w:val="left"/>
        <w:textAlignment w:val="baseline"/>
        <w:rPr>
          <w:rFonts w:ascii="Times New Roman" w:hAnsi="Times New Roman" w:eastAsia="Times New Roman"/>
          <w:color w:val="000000"/>
          <w:spacing w:val="-1"/>
          <w:w w:val="100"/>
          <w:sz w:val="14"/>
          <w:vertAlign w:val="superscript"/>
          <w:lang w:val="en-US"/>
        </w:rPr>
      </w:pPr>
      <w:r>
        <w:pict>
          <v:line strokeweight="0.5pt" strokecolor="#000000" from="107.1pt,723.1pt" to="252.05pt,723.1pt" style="position:absolute;mso-position-horizontal-relative:page;mso-position-vertical-relative:page;">
            <v:stroke dashstyle="solid"/>
          </v:line>
        </w:pict>
      </w:r>
      <w:r>
        <w:rPr>
          <w:rFonts w:ascii="Times New Roman" w:hAnsi="Times New Roman" w:eastAsia="Times New Roman"/>
          <w:color w:val="000000"/>
          <w:spacing w:val="-1"/>
          <w:w w:val="100"/>
          <w:sz w:val="14"/>
          <w:vertAlign w:val="superscript"/>
          <w:lang w:val="en-US"/>
        </w:rPr>
        <w:t xml:space="preserve">3</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§15.20(3).</w:t>
      </w:r>
    </w:p>
    <w:sectPr>
      <w:type w:val="continuous"/>
      <w:pgSz w:w="12240" w:h="15840" w:orient="portrait"/>
      <w:pgMar w:bottom="424" w:top="1080" w:right="7100" w:left="214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