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C2E4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61BE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461BE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461BE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461BEA">
        <w:rPr>
          <w:rFonts w:ascii="Arial" w:hAnsi="Arial" w:cs="Arial"/>
          <w:b/>
          <w:bCs/>
          <w:sz w:val="28"/>
          <w:szCs w:val="28"/>
        </w:rPr>
        <w:t>AGGRAVATED MANSLAUGHTER IN THE SECOND DEGREE</w:t>
      </w:r>
    </w:p>
    <w:p w14:paraId="5C6E954B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61BEA">
        <w:rPr>
          <w:rFonts w:ascii="Arial" w:hAnsi="Arial" w:cs="Arial"/>
          <w:b/>
          <w:bCs/>
          <w:sz w:val="28"/>
          <w:szCs w:val="28"/>
        </w:rPr>
        <w:t xml:space="preserve">(Reckless Homicide of a Police Officer </w:t>
      </w:r>
      <w:bookmarkStart w:id="0" w:name="BM_1_"/>
      <w:bookmarkEnd w:id="0"/>
      <w:r w:rsidRPr="00461BEA">
        <w:rPr>
          <w:rFonts w:ascii="Arial" w:hAnsi="Arial" w:cs="Arial"/>
          <w:b/>
          <w:bCs/>
          <w:sz w:val="28"/>
          <w:szCs w:val="28"/>
        </w:rPr>
        <w:t xml:space="preserve">or Peace Officer) </w:t>
      </w:r>
    </w:p>
    <w:p w14:paraId="196250D0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61BEA">
        <w:rPr>
          <w:rFonts w:ascii="Arial" w:hAnsi="Arial" w:cs="Arial"/>
          <w:b/>
          <w:bCs/>
          <w:sz w:val="28"/>
          <w:szCs w:val="28"/>
        </w:rPr>
        <w:t>Penal Law § 125.21</w:t>
      </w:r>
    </w:p>
    <w:p w14:paraId="6BC30AFC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b/>
          <w:bCs/>
          <w:sz w:val="28"/>
          <w:szCs w:val="28"/>
        </w:rPr>
        <w:t>(Committed on or after Dec. 21, 2005)</w:t>
      </w:r>
    </w:p>
    <w:p w14:paraId="34895411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6AE705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2D724D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>The (</w:t>
      </w:r>
      <w:r w:rsidRPr="00461BEA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Pr="00461BEA">
        <w:rPr>
          <w:rFonts w:ascii="Arial" w:hAnsi="Arial" w:cs="Arial"/>
          <w:sz w:val="28"/>
          <w:szCs w:val="28"/>
        </w:rPr>
        <w:t>) count is Aggravated Manslaughter in the Second Degree.</w:t>
      </w:r>
    </w:p>
    <w:p w14:paraId="7586B263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766591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>Under our law, a person is guilty of Aggravated Manslaughter in the Second Degree when he or she recklessly causes the death of a police officer [</w:t>
      </w:r>
      <w:r w:rsidRPr="00461BEA">
        <w:rPr>
          <w:rFonts w:ascii="Arial" w:hAnsi="Arial" w:cs="Arial"/>
          <w:i/>
          <w:iCs/>
          <w:sz w:val="28"/>
          <w:szCs w:val="28"/>
        </w:rPr>
        <w:t>or</w:t>
      </w:r>
      <w:r w:rsidRPr="00461BEA">
        <w:rPr>
          <w:rFonts w:ascii="Arial" w:hAnsi="Arial" w:cs="Arial"/>
          <w:sz w:val="28"/>
          <w:szCs w:val="28"/>
        </w:rPr>
        <w:t xml:space="preserve"> peace officer] where such officer was in the course of performing his or her official duties and the defendant knew or reasonably should have known that such victim was a police officer [</w:t>
      </w:r>
      <w:r w:rsidRPr="00461BEA">
        <w:rPr>
          <w:rFonts w:ascii="Arial" w:hAnsi="Arial" w:cs="Arial"/>
          <w:i/>
          <w:iCs/>
          <w:sz w:val="28"/>
          <w:szCs w:val="28"/>
        </w:rPr>
        <w:t>or</w:t>
      </w:r>
      <w:r w:rsidRPr="00461BEA">
        <w:rPr>
          <w:rFonts w:ascii="Arial" w:hAnsi="Arial" w:cs="Arial"/>
          <w:sz w:val="28"/>
          <w:szCs w:val="28"/>
        </w:rPr>
        <w:t xml:space="preserve"> peace officer].</w:t>
      </w:r>
    </w:p>
    <w:p w14:paraId="18235135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EF1674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>The following terms used in that definition have a special meaning:</w:t>
      </w:r>
      <w:r w:rsidRPr="00461BEA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461BEA">
        <w:rPr>
          <w:rFonts w:ascii="Arial" w:hAnsi="Arial" w:cs="Arial"/>
          <w:sz w:val="28"/>
          <w:szCs w:val="28"/>
        </w:rPr>
        <w:t xml:space="preserve"> </w:t>
      </w:r>
    </w:p>
    <w:p w14:paraId="783D1C74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7996CF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 xml:space="preserve">A person acts RECKLESSLY with respect to a death when that person </w:t>
      </w:r>
    </w:p>
    <w:p w14:paraId="629B6906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19059C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>engages in conduct which creates or contributes to a substantial and unjustifiable risk that another person's death will occur,</w:t>
      </w:r>
    </w:p>
    <w:p w14:paraId="7DF92A3A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D5FD50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>and when he or she is aware of and consciously disregards that risk,</w:t>
      </w:r>
    </w:p>
    <w:p w14:paraId="5E63C4D8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838A0E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>and when that risk is of such nature and degree that disregard of it constitutes a gross deviation from the standard of conduct that a reasonable person would observe in the situation.</w:t>
      </w:r>
      <w:r w:rsidRPr="00461BEA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2"/>
        <w:t>2</w:t>
      </w:r>
    </w:p>
    <w:p w14:paraId="35541108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1E207E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>[</w:t>
      </w:r>
      <w:r w:rsidRPr="00461BEA">
        <w:rPr>
          <w:rFonts w:ascii="Arial" w:hAnsi="Arial" w:cs="Arial"/>
          <w:i/>
          <w:iCs/>
          <w:sz w:val="28"/>
          <w:szCs w:val="28"/>
        </w:rPr>
        <w:t>NOTE: Where there is evidence of voluntary intoxication on the part of the defendant, add:</w:t>
      </w:r>
    </w:p>
    <w:p w14:paraId="1FD171A5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0181C3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>A person also acts recklessly when he or she creates such a risk but is unaware of that risk solely by reason of his or her voluntary intoxication.</w:t>
      </w:r>
      <w:r w:rsidRPr="00461BEA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3"/>
        <w:t>3</w:t>
      </w:r>
      <w:r w:rsidRPr="00461BEA">
        <w:rPr>
          <w:rFonts w:ascii="Arial" w:hAnsi="Arial" w:cs="Arial"/>
          <w:sz w:val="28"/>
          <w:szCs w:val="28"/>
        </w:rPr>
        <w:t xml:space="preserve">] </w:t>
      </w:r>
    </w:p>
    <w:p w14:paraId="71DBDFDE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28332C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>A person REASONABLY SHOULD HAVE KNOWN that the victim was a police officer [</w:t>
      </w:r>
      <w:r w:rsidRPr="00461BEA">
        <w:rPr>
          <w:rFonts w:ascii="Arial" w:hAnsi="Arial" w:cs="Arial"/>
          <w:i/>
          <w:iCs/>
          <w:sz w:val="28"/>
          <w:szCs w:val="28"/>
        </w:rPr>
        <w:t>or</w:t>
      </w:r>
      <w:r w:rsidRPr="00461BEA">
        <w:rPr>
          <w:rFonts w:ascii="Arial" w:hAnsi="Arial" w:cs="Arial"/>
          <w:sz w:val="28"/>
          <w:szCs w:val="28"/>
        </w:rPr>
        <w:t xml:space="preserve"> peace officer] if, in the same circumstances, a reasonable person in the same position and possessing the same knowledge, would have known that such victim was a police officer [</w:t>
      </w:r>
      <w:r w:rsidRPr="00461BEA">
        <w:rPr>
          <w:rFonts w:ascii="Arial" w:hAnsi="Arial" w:cs="Arial"/>
          <w:i/>
          <w:iCs/>
          <w:sz w:val="28"/>
          <w:szCs w:val="28"/>
        </w:rPr>
        <w:t>or</w:t>
      </w:r>
      <w:r w:rsidRPr="00461BEA">
        <w:rPr>
          <w:rFonts w:ascii="Arial" w:hAnsi="Arial" w:cs="Arial"/>
          <w:sz w:val="28"/>
          <w:szCs w:val="28"/>
        </w:rPr>
        <w:t xml:space="preserve"> peace officer].</w:t>
      </w:r>
      <w:r w:rsidRPr="00461BEA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4"/>
        <w:t>4</w:t>
      </w:r>
      <w:r w:rsidRPr="00461BEA">
        <w:rPr>
          <w:rFonts w:ascii="Arial" w:hAnsi="Arial" w:cs="Arial"/>
          <w:sz w:val="28"/>
          <w:szCs w:val="28"/>
        </w:rPr>
        <w:t xml:space="preserve">  </w:t>
      </w:r>
    </w:p>
    <w:p w14:paraId="703FEBA2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3F9F15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>A police officer [</w:t>
      </w:r>
      <w:r w:rsidRPr="00461BEA">
        <w:rPr>
          <w:rFonts w:ascii="Arial" w:hAnsi="Arial" w:cs="Arial"/>
          <w:i/>
          <w:iCs/>
          <w:sz w:val="28"/>
          <w:szCs w:val="28"/>
        </w:rPr>
        <w:t>or</w:t>
      </w:r>
      <w:r w:rsidRPr="00461BEA">
        <w:rPr>
          <w:rFonts w:ascii="Arial" w:hAnsi="Arial" w:cs="Arial"/>
          <w:sz w:val="28"/>
          <w:szCs w:val="28"/>
        </w:rPr>
        <w:t xml:space="preserve"> peace officer] is in the course of performing his or her OFFICIAL DUTIES when he or she is acting pursuant to his or her occupation as a police officer </w:t>
      </w:r>
      <w:bookmarkStart w:id="1" w:name="_GoBack"/>
      <w:bookmarkEnd w:id="1"/>
      <w:r w:rsidRPr="00461BEA">
        <w:rPr>
          <w:rFonts w:ascii="Arial" w:hAnsi="Arial" w:cs="Arial"/>
          <w:sz w:val="28"/>
          <w:szCs w:val="28"/>
        </w:rPr>
        <w:t>[</w:t>
      </w:r>
      <w:r w:rsidRPr="00461BEA">
        <w:rPr>
          <w:rFonts w:ascii="Arial" w:hAnsi="Arial" w:cs="Arial"/>
          <w:i/>
          <w:iCs/>
          <w:sz w:val="28"/>
          <w:szCs w:val="28"/>
        </w:rPr>
        <w:t>or</w:t>
      </w:r>
      <w:r w:rsidRPr="00461BEA">
        <w:rPr>
          <w:rFonts w:ascii="Arial" w:hAnsi="Arial" w:cs="Arial"/>
          <w:sz w:val="28"/>
          <w:szCs w:val="28"/>
        </w:rPr>
        <w:t xml:space="preserve"> peace officer], rather than as a private citizen.</w:t>
      </w:r>
      <w:r w:rsidRPr="00461BEA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5"/>
        <w:t>5</w:t>
      </w:r>
    </w:p>
    <w:p w14:paraId="26C6E4F0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498BC7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>In order for you to find the defendant guilty of this crime, the People are required to prove, from all the evidence in the case, beyond a reasonable doubt, each of the following four elements:</w:t>
      </w:r>
    </w:p>
    <w:p w14:paraId="1B841ACD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04E538" w14:textId="77777777" w:rsidR="00461BEA" w:rsidRPr="00461BEA" w:rsidRDefault="00461BEA" w:rsidP="00461BE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2880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>1.</w:t>
      </w:r>
      <w:r w:rsidRPr="00461BEA">
        <w:rPr>
          <w:rFonts w:ascii="Arial" w:hAnsi="Arial" w:cs="Arial"/>
          <w:sz w:val="28"/>
          <w:szCs w:val="28"/>
        </w:rPr>
        <w:tab/>
        <w:t>That on or about</w:t>
      </w:r>
      <w:r w:rsidRPr="00461BEA">
        <w:rPr>
          <w:rFonts w:ascii="Arial" w:hAnsi="Arial" w:cs="Arial"/>
          <w:i/>
          <w:iCs/>
          <w:u w:val="single"/>
        </w:rPr>
        <w:t xml:space="preserve"> (date</w:t>
      </w:r>
      <w:proofErr w:type="gramStart"/>
      <w:r w:rsidRPr="00461BEA">
        <w:rPr>
          <w:rFonts w:ascii="Arial" w:hAnsi="Arial" w:cs="Arial"/>
          <w:i/>
          <w:iCs/>
          <w:u w:val="single"/>
        </w:rPr>
        <w:t xml:space="preserve">) </w:t>
      </w:r>
      <w:r w:rsidRPr="00461BEA">
        <w:rPr>
          <w:rFonts w:ascii="Arial" w:hAnsi="Arial" w:cs="Arial"/>
          <w:sz w:val="28"/>
          <w:szCs w:val="28"/>
        </w:rPr>
        <w:t>,</w:t>
      </w:r>
      <w:proofErr w:type="gramEnd"/>
      <w:r w:rsidRPr="00461BEA">
        <w:rPr>
          <w:rFonts w:ascii="Arial" w:hAnsi="Arial" w:cs="Arial"/>
          <w:sz w:val="28"/>
          <w:szCs w:val="28"/>
        </w:rPr>
        <w:t xml:space="preserve"> in the county of </w:t>
      </w:r>
      <w:r w:rsidRPr="00461BEA">
        <w:rPr>
          <w:rFonts w:ascii="Arial" w:hAnsi="Arial" w:cs="Arial"/>
          <w:i/>
          <w:iCs/>
          <w:u w:val="single"/>
        </w:rPr>
        <w:t xml:space="preserve"> (county)</w:t>
      </w:r>
      <w:r w:rsidRPr="00461BEA">
        <w:rPr>
          <w:rFonts w:ascii="Arial" w:hAnsi="Arial" w:cs="Arial"/>
          <w:sz w:val="28"/>
          <w:szCs w:val="28"/>
        </w:rPr>
        <w:t xml:space="preserve">, the defendant, </w:t>
      </w:r>
      <w:r w:rsidRPr="00461BEA">
        <w:rPr>
          <w:rFonts w:ascii="Arial" w:hAnsi="Arial" w:cs="Arial"/>
          <w:i/>
          <w:iCs/>
          <w:u w:val="single"/>
        </w:rPr>
        <w:t xml:space="preserve"> (defendant's name) </w:t>
      </w:r>
      <w:r w:rsidRPr="00461BEA">
        <w:rPr>
          <w:rFonts w:ascii="Arial" w:hAnsi="Arial" w:cs="Arial"/>
          <w:sz w:val="28"/>
          <w:szCs w:val="28"/>
        </w:rPr>
        <w:t xml:space="preserve">, caused the death of </w:t>
      </w:r>
      <w:r w:rsidRPr="00461BEA">
        <w:rPr>
          <w:rFonts w:ascii="Arial" w:hAnsi="Arial" w:cs="Arial"/>
          <w:i/>
          <w:iCs/>
          <w:u w:val="single"/>
        </w:rPr>
        <w:t xml:space="preserve"> (specify) </w:t>
      </w:r>
      <w:r w:rsidRPr="00461BEA">
        <w:rPr>
          <w:rFonts w:ascii="Arial" w:hAnsi="Arial" w:cs="Arial"/>
          <w:sz w:val="28"/>
          <w:szCs w:val="28"/>
        </w:rPr>
        <w:t xml:space="preserve">; </w:t>
      </w:r>
    </w:p>
    <w:p w14:paraId="74DA5867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7E570F" w14:textId="77777777" w:rsidR="00461BEA" w:rsidRPr="00461BEA" w:rsidRDefault="00461BEA" w:rsidP="00461BE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2880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>2.</w:t>
      </w:r>
      <w:r w:rsidRPr="00461BEA">
        <w:rPr>
          <w:rFonts w:ascii="Arial" w:hAnsi="Arial" w:cs="Arial"/>
          <w:sz w:val="28"/>
          <w:szCs w:val="28"/>
        </w:rPr>
        <w:tab/>
        <w:t xml:space="preserve">That the defendant did so recklessly; </w:t>
      </w:r>
    </w:p>
    <w:p w14:paraId="44DECD2A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71A1B2" w14:textId="77777777" w:rsidR="00461BEA" w:rsidRPr="00461BEA" w:rsidRDefault="00461BEA" w:rsidP="00461BE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 xml:space="preserve">3. </w:t>
      </w:r>
      <w:r w:rsidRPr="00461BEA">
        <w:rPr>
          <w:rFonts w:ascii="Arial" w:hAnsi="Arial" w:cs="Arial"/>
          <w:sz w:val="28"/>
          <w:szCs w:val="28"/>
        </w:rPr>
        <w:tab/>
        <w:t>That, at the time of the killing,</w:t>
      </w:r>
      <w:r w:rsidRPr="00461BEA">
        <w:rPr>
          <w:rFonts w:ascii="Arial" w:hAnsi="Arial" w:cs="Arial"/>
          <w:i/>
          <w:iCs/>
          <w:u w:val="single"/>
        </w:rPr>
        <w:t xml:space="preserve"> (specify</w:t>
      </w:r>
      <w:r>
        <w:rPr>
          <w:rFonts w:ascii="Arial" w:hAnsi="Arial" w:cs="Arial"/>
          <w:i/>
          <w:iCs/>
          <w:u w:val="single"/>
        </w:rPr>
        <w:t>)</w:t>
      </w:r>
      <w:r w:rsidRPr="00461BEA">
        <w:rPr>
          <w:rFonts w:ascii="Arial" w:hAnsi="Arial" w:cs="Arial"/>
          <w:i/>
          <w:iCs/>
          <w:u w:val="single"/>
        </w:rPr>
        <w:t xml:space="preserve"> </w:t>
      </w:r>
      <w:r w:rsidRPr="00461BEA">
        <w:rPr>
          <w:rFonts w:ascii="Arial" w:hAnsi="Arial" w:cs="Arial"/>
          <w:sz w:val="28"/>
          <w:szCs w:val="28"/>
        </w:rPr>
        <w:t>was a police officer [</w:t>
      </w:r>
      <w:r w:rsidRPr="00461BEA">
        <w:rPr>
          <w:rFonts w:ascii="Arial" w:hAnsi="Arial" w:cs="Arial"/>
          <w:i/>
          <w:iCs/>
          <w:sz w:val="28"/>
          <w:szCs w:val="28"/>
        </w:rPr>
        <w:t>or</w:t>
      </w:r>
      <w:r w:rsidRPr="00461BEA">
        <w:rPr>
          <w:rFonts w:ascii="Arial" w:hAnsi="Arial" w:cs="Arial"/>
          <w:sz w:val="28"/>
          <w:szCs w:val="28"/>
        </w:rPr>
        <w:t xml:space="preserve"> peace officer] in the course of performing his/her official duties; and</w:t>
      </w:r>
    </w:p>
    <w:p w14:paraId="4C54F08C" w14:textId="77777777" w:rsidR="00461BEA" w:rsidRPr="00461BEA" w:rsidRDefault="00461BEA" w:rsidP="00461BE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lastRenderedPageBreak/>
        <w:tab/>
        <w:t>4.</w:t>
      </w:r>
      <w:r w:rsidRPr="00461BEA">
        <w:rPr>
          <w:rFonts w:ascii="Arial" w:hAnsi="Arial" w:cs="Arial"/>
          <w:sz w:val="28"/>
          <w:szCs w:val="28"/>
        </w:rPr>
        <w:tab/>
        <w:t>That, at the time of the killing, the defendant knew or reasonably should have known that</w:t>
      </w:r>
      <w:r w:rsidRPr="00461BEA">
        <w:rPr>
          <w:rFonts w:ascii="Arial" w:hAnsi="Arial" w:cs="Arial"/>
          <w:i/>
          <w:iCs/>
          <w:u w:val="single"/>
        </w:rPr>
        <w:t xml:space="preserve"> (specify)</w:t>
      </w:r>
      <w:r>
        <w:rPr>
          <w:rFonts w:ascii="Arial" w:hAnsi="Arial" w:cs="Arial"/>
          <w:i/>
          <w:iCs/>
          <w:u w:val="single"/>
        </w:rPr>
        <w:t xml:space="preserve"> </w:t>
      </w:r>
      <w:r w:rsidRPr="00461BEA">
        <w:rPr>
          <w:rFonts w:ascii="Arial" w:hAnsi="Arial" w:cs="Arial"/>
          <w:sz w:val="28"/>
          <w:szCs w:val="28"/>
        </w:rPr>
        <w:t>was a police officer [</w:t>
      </w:r>
      <w:r w:rsidRPr="00461BEA">
        <w:rPr>
          <w:rFonts w:ascii="Arial" w:hAnsi="Arial" w:cs="Arial"/>
          <w:i/>
          <w:iCs/>
          <w:sz w:val="28"/>
          <w:szCs w:val="28"/>
        </w:rPr>
        <w:t>or</w:t>
      </w:r>
      <w:r w:rsidRPr="00461BEA">
        <w:rPr>
          <w:rFonts w:ascii="Arial" w:hAnsi="Arial" w:cs="Arial"/>
          <w:sz w:val="28"/>
          <w:szCs w:val="28"/>
        </w:rPr>
        <w:t xml:space="preserve"> peace officer].</w:t>
      </w:r>
    </w:p>
    <w:p w14:paraId="719CFE40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D2E3D3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BEA">
        <w:rPr>
          <w:rFonts w:ascii="Arial" w:hAnsi="Arial" w:cs="Arial"/>
          <w:sz w:val="28"/>
          <w:szCs w:val="28"/>
        </w:rPr>
        <w:tab/>
        <w:t>If you find the People have proven beyond a reasonable doubt each of those elements, you must find the defendant guilty of this crime.</w:t>
      </w:r>
    </w:p>
    <w:p w14:paraId="6B7AD1D1" w14:textId="77777777" w:rsidR="00461BEA" w:rsidRPr="00461BEA" w:rsidRDefault="00461BEA" w:rsidP="0046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D039A8" w14:textId="77777777" w:rsidR="00C8485C" w:rsidRDefault="00461BEA" w:rsidP="00461BEA">
      <w:r w:rsidRPr="00461BEA">
        <w:rPr>
          <w:rFonts w:ascii="Arial" w:hAnsi="Arial" w:cs="Arial"/>
          <w:sz w:val="28"/>
          <w:szCs w:val="28"/>
        </w:rPr>
        <w:tab/>
        <w:t>If you find the People have not proven beyond a reasonable doubt any one or more of those elements, you must find the defendant not guilty of this crime.</w:t>
      </w:r>
    </w:p>
    <w:sectPr w:rsidR="00C8485C" w:rsidSect="0003129E">
      <w:pgSz w:w="12240" w:h="15840"/>
      <w:pgMar w:top="1080" w:right="2160" w:bottom="1080" w:left="2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2A3A8" w14:textId="77777777" w:rsidR="00461BEA" w:rsidRDefault="00461BEA" w:rsidP="00461BEA">
      <w:pPr>
        <w:spacing w:after="0" w:line="240" w:lineRule="auto"/>
      </w:pPr>
      <w:r>
        <w:separator/>
      </w:r>
    </w:p>
  </w:endnote>
  <w:endnote w:type="continuationSeparator" w:id="0">
    <w:p w14:paraId="4C077219" w14:textId="77777777" w:rsidR="00461BEA" w:rsidRDefault="00461BEA" w:rsidP="0046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DB82" w14:textId="77777777" w:rsidR="00461BEA" w:rsidRDefault="00461BEA" w:rsidP="00461BEA">
      <w:pPr>
        <w:spacing w:after="0" w:line="240" w:lineRule="auto"/>
      </w:pPr>
      <w:r>
        <w:separator/>
      </w:r>
    </w:p>
  </w:footnote>
  <w:footnote w:type="continuationSeparator" w:id="0">
    <w:p w14:paraId="09DABEC9" w14:textId="77777777" w:rsidR="00461BEA" w:rsidRDefault="00461BEA" w:rsidP="00461BEA">
      <w:pPr>
        <w:spacing w:after="0" w:line="240" w:lineRule="auto"/>
      </w:pPr>
      <w:r>
        <w:continuationSeparator/>
      </w:r>
    </w:p>
  </w:footnote>
  <w:footnote w:id="1">
    <w:p w14:paraId="2467C756" w14:textId="77777777" w:rsidR="00461BEA" w:rsidRDefault="00461BEA" w:rsidP="00461B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1 </w:t>
      </w:r>
      <w:r>
        <w:rPr>
          <w:rFonts w:ascii="Arial" w:hAnsi="Arial" w:cs="Arial"/>
          <w:sz w:val="19"/>
          <w:szCs w:val="19"/>
        </w:rPr>
        <w:t>If causation, "death," or “person” is in issue, see Additional Charges at the end of this article. Additionally, if the status of the deceased as a police or peace officer is at issue, refer to the definitions of “police officer” set forth in CPL § 1.20(34) and of “peace officer” set forth in CPL § 2.10.</w:t>
      </w:r>
    </w:p>
  </w:footnote>
  <w:footnote w:id="2">
    <w:p w14:paraId="3C56E970" w14:textId="77777777" w:rsidR="00461BEA" w:rsidRDefault="00461BEA" w:rsidP="00461B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2</w:t>
      </w:r>
      <w:r>
        <w:rPr>
          <w:rFonts w:ascii="Arial" w:hAnsi="Arial" w:cs="Arial"/>
          <w:i/>
          <w:iCs/>
          <w:sz w:val="19"/>
          <w:szCs w:val="19"/>
        </w:rPr>
        <w:t xml:space="preserve"> See</w:t>
      </w:r>
      <w:r>
        <w:rPr>
          <w:rFonts w:ascii="Arial" w:hAnsi="Arial" w:cs="Arial"/>
          <w:sz w:val="19"/>
          <w:szCs w:val="19"/>
        </w:rPr>
        <w:t xml:space="preserve"> Penal Law § 15.05(3); </w:t>
      </w:r>
      <w:r>
        <w:rPr>
          <w:rFonts w:ascii="Arial" w:hAnsi="Arial" w:cs="Arial"/>
          <w:i/>
          <w:iCs/>
          <w:sz w:val="19"/>
          <w:szCs w:val="19"/>
        </w:rPr>
        <w:t>People v. Boutin</w:t>
      </w:r>
      <w:r>
        <w:rPr>
          <w:rFonts w:ascii="Arial" w:hAnsi="Arial" w:cs="Arial"/>
          <w:sz w:val="19"/>
          <w:szCs w:val="19"/>
        </w:rPr>
        <w:t>, 75 NY2d 692, 696 (1990).</w:t>
      </w:r>
    </w:p>
  </w:footnote>
  <w:footnote w:id="3">
    <w:p w14:paraId="6D463431" w14:textId="77777777" w:rsidR="00461BEA" w:rsidRDefault="00461BEA" w:rsidP="00461B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3</w:t>
      </w:r>
      <w:r>
        <w:rPr>
          <w:rFonts w:ascii="Arial" w:hAnsi="Arial" w:cs="Arial"/>
          <w:i/>
          <w:iCs/>
          <w:sz w:val="19"/>
          <w:szCs w:val="19"/>
        </w:rPr>
        <w:t>See</w:t>
      </w:r>
      <w:r>
        <w:rPr>
          <w:rFonts w:ascii="Arial" w:hAnsi="Arial" w:cs="Arial"/>
          <w:sz w:val="19"/>
          <w:szCs w:val="19"/>
        </w:rPr>
        <w:t xml:space="preserve"> Penal Law § 15.05(3).</w:t>
      </w:r>
    </w:p>
  </w:footnote>
  <w:footnote w:id="4">
    <w:p w14:paraId="394D3915" w14:textId="77777777" w:rsidR="00461BEA" w:rsidRDefault="00461BEA" w:rsidP="00461B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vertAlign w:val="superscript"/>
        </w:rPr>
        <w:t xml:space="preserve">4 </w:t>
      </w:r>
      <w:r>
        <w:rPr>
          <w:rFonts w:ascii="Arial" w:hAnsi="Arial" w:cs="Arial"/>
          <w:i/>
          <w:iCs/>
          <w:sz w:val="19"/>
          <w:szCs w:val="19"/>
        </w:rPr>
        <w:t>Cf. People v Goetz,</w:t>
      </w:r>
      <w:r>
        <w:rPr>
          <w:rFonts w:ascii="Arial" w:hAnsi="Arial" w:cs="Arial"/>
          <w:sz w:val="19"/>
          <w:szCs w:val="19"/>
        </w:rPr>
        <w:t xml:space="preserve"> 68 NY2d 96 (1986).</w:t>
      </w:r>
    </w:p>
  </w:footnote>
  <w:footnote w:id="5">
    <w:p w14:paraId="6293A914" w14:textId="77777777" w:rsidR="00461BEA" w:rsidRDefault="00461BEA" w:rsidP="00461B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See People v Davis</w:t>
      </w:r>
      <w:r>
        <w:rPr>
          <w:rFonts w:ascii="Arial" w:hAnsi="Arial" w:cs="Arial"/>
          <w:sz w:val="24"/>
          <w:szCs w:val="24"/>
        </w:rPr>
        <w:t xml:space="preserve">, 43 NY2d 17 (1977); </w:t>
      </w:r>
      <w:r>
        <w:rPr>
          <w:rFonts w:ascii="Arial" w:hAnsi="Arial" w:cs="Arial"/>
          <w:i/>
          <w:iCs/>
          <w:sz w:val="24"/>
          <w:szCs w:val="24"/>
        </w:rPr>
        <w:t>People v. Woods</w:t>
      </w:r>
      <w:r>
        <w:rPr>
          <w:rFonts w:ascii="Arial" w:hAnsi="Arial" w:cs="Arial"/>
          <w:sz w:val="24"/>
          <w:szCs w:val="24"/>
        </w:rPr>
        <w:t>, 141 A.D.2d 684 (2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Dept. 1988); </w:t>
      </w:r>
      <w:r>
        <w:rPr>
          <w:rFonts w:ascii="Arial" w:hAnsi="Arial" w:cs="Arial"/>
          <w:i/>
          <w:iCs/>
          <w:sz w:val="24"/>
          <w:szCs w:val="24"/>
        </w:rPr>
        <w:t>People v. Lanzot,</w:t>
      </w:r>
      <w:r>
        <w:rPr>
          <w:rFonts w:ascii="Arial" w:hAnsi="Arial" w:cs="Arial"/>
          <w:sz w:val="24"/>
          <w:szCs w:val="24"/>
        </w:rPr>
        <w:t xml:space="preserve"> 67 AD2d 864 (1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Dept. 1979).  This general definition is based on limited existing case law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may need to be modified or amplified in light of the facts of the individual case and the arguments of the parties.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EA"/>
    <w:rsid w:val="0003129E"/>
    <w:rsid w:val="00461BEA"/>
    <w:rsid w:val="00545CB1"/>
    <w:rsid w:val="00C8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CA00"/>
  <w15:chartTrackingRefBased/>
  <w15:docId w15:val="{FC6733A3-05EC-4CEE-81AA-BA14C7A7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1</cp:revision>
  <dcterms:created xsi:type="dcterms:W3CDTF">2018-09-13T20:28:00Z</dcterms:created>
  <dcterms:modified xsi:type="dcterms:W3CDTF">2018-09-13T20:33:00Z</dcterms:modified>
</cp:coreProperties>
</file>