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HAZING SECOND DEGREE</w:t>
        <w:br/>
      </w:r>
      <w:r>
        <w:rPr>
          <w:rFonts w:ascii="Arial" w:hAnsi="Arial" w:eastAsia="Arial"/>
          <w:b w:val="true"/>
          <w:color w:val="000000"/>
          <w:spacing w:val="0"/>
          <w:w w:val="100"/>
          <w:sz w:val="28"/>
          <w:vertAlign w:val="baseline"/>
          <w:lang w:val="en-US"/>
        </w:rPr>
        <w:t xml:space="preserve">(Creating Substantial Risk of Injury)</w:t>
        <w:br/>
      </w:r>
      <w:r>
        <w:rPr>
          <w:rFonts w:ascii="Arial" w:hAnsi="Arial" w:eastAsia="Arial"/>
          <w:b w:val="true"/>
          <w:color w:val="000000"/>
          <w:spacing w:val="0"/>
          <w:w w:val="100"/>
          <w:sz w:val="28"/>
          <w:vertAlign w:val="baseline"/>
          <w:lang w:val="en-US"/>
        </w:rPr>
        <w:t xml:space="preserve">Penal Law § 120.17</w:t>
        <w:br/>
      </w:r>
      <w:r>
        <w:rPr>
          <w:rFonts w:ascii="Arial" w:hAnsi="Arial" w:eastAsia="Arial"/>
          <w:b w:val="true"/>
          <w:color w:val="000000"/>
          <w:spacing w:val="0"/>
          <w:w w:val="100"/>
          <w:sz w:val="28"/>
          <w:vertAlign w:val="baseline"/>
          <w:lang w:val="en-US"/>
        </w:rPr>
        <w:t xml:space="preserve">(Committed on or after Nov. 1, 1988)</w:t>
      </w:r>
    </w:p>
    <w:p>
      <w:pPr>
        <w:pageBreakBefore w:val="false"/>
        <w:spacing w:before="40" w:after="0" w:line="274" w:lineRule="exact"/>
        <w:ind w:right="0" w:left="0" w:firstLine="0"/>
        <w:jc w:val="center"/>
        <w:textAlignment w:val="baseline"/>
        <w:rPr>
          <w:rFonts w:ascii="Arial" w:hAnsi="Arial" w:eastAsia="Arial"/>
          <w:b w:val="true"/>
          <w:color w:val="000000"/>
          <w:spacing w:val="-4"/>
          <w:w w:val="100"/>
          <w:sz w:val="24"/>
          <w:vertAlign w:val="baseline"/>
          <w:lang w:val="en-US"/>
        </w:rPr>
      </w:pPr>
      <w:r>
        <w:rPr>
          <w:rFonts w:ascii="Arial" w:hAnsi="Arial" w:eastAsia="Arial"/>
          <w:b w:val="true"/>
          <w:color w:val="000000"/>
          <w:spacing w:val="-4"/>
          <w:w w:val="100"/>
          <w:sz w:val="24"/>
          <w:vertAlign w:val="baseline"/>
          <w:lang w:val="en-US"/>
        </w:rPr>
        <w:t xml:space="preserve">Revised Jan. 2019</w:t>
      </w:r>
      <w:r>
        <w:rPr>
          <w:rFonts w:ascii="Arial" w:hAnsi="Arial" w:eastAsia="Arial"/>
          <w:b w:val="true"/>
          <w:color w:val="000000"/>
          <w:spacing w:val="-4"/>
          <w:w w:val="100"/>
          <w:sz w:val="24"/>
          <w:vertAlign w:val="superscript"/>
          <w:lang w:val="en-US"/>
        </w:rPr>
        <w:t xml:space="preserve">1</w:t>
      </w:r>
      <w:r>
        <w:rPr>
          <w:rFonts w:ascii="Arial" w:hAnsi="Arial" w:eastAsia="Arial"/>
          <w:b w:val="true"/>
          <w:color w:val="000000"/>
          <w:spacing w:val="-4"/>
          <w:w w:val="100"/>
          <w:sz w:val="14"/>
          <w:vertAlign w:val="baseline"/>
          <w:lang w:val="en-US"/>
        </w:rPr>
        <w:t xml:space="preserve">
</w:t>
      </w:r>
    </w:p>
    <w:p>
      <w:pPr>
        <w:pageBreakBefore w:val="false"/>
        <w:spacing w:before="338" w:after="0" w:line="326"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Hazing in the Second Degree.</w:t>
      </w:r>
    </w:p>
    <w:p>
      <w:pPr>
        <w:pageBreakBefore w:val="false"/>
        <w:spacing w:before="310" w:after="0" w:line="326" w:lineRule="exact"/>
        <w:ind w:right="72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Hazing in the Second Degree when, in the course of another person's initiation or affiliation with any organization,</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he or she intentionally or recklessly engages in conduct, including, but not limited to, making physical contact with or requiring physical activity of such other person</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which creates a substantial risk of physical injury to such other person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to a third person].</w:t>
      </w:r>
    </w:p>
    <w:p>
      <w:pPr>
        <w:pageBreakBefore w:val="false"/>
        <w:spacing w:before="321" w:after="0" w:line="326" w:lineRule="exact"/>
        <w:ind w:right="72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11" w:after="0" w:line="326" w:lineRule="exact"/>
        <w:ind w:right="72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 INJURYmeans impairment of physical condition or substantial pain.</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1" w:after="590" w:line="326" w:lineRule="exact"/>
        <w:ind w:right="720" w:left="72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A person acts INTENTIONALLY when that person's conscious objective or purpose is to cause a particular result or to engage in particular conduct. Thus, a person intentionally engages in conduct which creates a substantial risk of physical injury to another person when his or her conscious objective or purpose is to engage in conduct which creates a substantial risk</w:t>
      </w:r>
    </w:p>
    <w:p>
      <w:pPr>
        <w:pageBreakBefore w:val="false"/>
        <w:spacing w:before="257" w:after="0" w:line="275" w:lineRule="exact"/>
        <w:ind w:right="72" w:left="0" w:firstLine="720"/>
        <w:jc w:val="left"/>
        <w:textAlignment w:val="baseline"/>
        <w:rPr>
          <w:rFonts w:ascii="Arial" w:hAnsi="Arial" w:eastAsia="Arial"/>
          <w:color w:val="000000"/>
          <w:spacing w:val="0"/>
          <w:w w:val="100"/>
          <w:sz w:val="14"/>
          <w:vertAlign w:val="superscript"/>
          <w:lang w:val="en-US"/>
        </w:rPr>
      </w:pPr>
      <w:r>
        <w:pict>
          <v:line strokeweight="0.95pt" strokecolor="#000000" from="108pt,540pt" to="252.05pt,540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January 2018 revision was to include the phrase: “including, but not limited to, making physical contact with or requiring physical activity of such other person,” which was added by L. 2018, ch. 188, effective August 13, 2018. Thus that phrase may only be included in a prosecution for an offense charged to have been committed on or after that effective date.</w:t>
      </w:r>
    </w:p>
    <w:p>
      <w:pPr>
        <w:pageBreakBefore w:val="false"/>
        <w:spacing w:before="249" w:after="0" w:line="275" w:lineRule="exact"/>
        <w:ind w:right="72" w:left="0" w:firstLine="72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“Since the term ‘organization’ is not defined in the Penal Law, it retains its commonsense meaning. ‘Any organization’ is thus defined as ‘[a] body of persons . . . formed for a common purpose’ (Black's Law Dictionary 1133 [8th ed 2004]). </w:t>
      </w:r>
      <w:r>
        <w:rPr>
          <w:rFonts w:ascii="Arial" w:hAnsi="Arial" w:eastAsia="Arial"/>
          <w:i w:val="true"/>
          <w:color w:val="000000"/>
          <w:spacing w:val="0"/>
          <w:w w:val="100"/>
          <w:sz w:val="24"/>
          <w:vertAlign w:val="baseline"/>
          <w:lang w:val="en-US"/>
        </w:rPr>
        <w:t xml:space="preserve">In re Khalil H</w:t>
      </w:r>
      <w:r>
        <w:rPr>
          <w:rFonts w:ascii="Arial" w:hAnsi="Arial" w:eastAsia="Arial"/>
          <w:color w:val="000000"/>
          <w:spacing w:val="0"/>
          <w:w w:val="100"/>
          <w:sz w:val="24"/>
          <w:vertAlign w:val="baseline"/>
          <w:lang w:val="en-US"/>
        </w:rPr>
        <w:t xml:space="preserve">., 80 A.D.3d 83, 89 (2d Dept. 2010) (internal citation omitted).</w:t>
      </w:r>
    </w:p>
    <w:p>
      <w:pPr>
        <w:pageBreakBefore w:val="false"/>
        <w:spacing w:before="236" w:after="0" w:line="275" w:lineRule="exact"/>
        <w:ind w:right="0" w:left="720" w:firstLine="0"/>
        <w:jc w:val="left"/>
        <w:textAlignment w:val="baseline"/>
        <w:rPr>
          <w:rFonts w:ascii="Arial" w:hAnsi="Arial" w:eastAsia="Arial"/>
          <w:color w:val="000000"/>
          <w:spacing w:val="3"/>
          <w:w w:val="100"/>
          <w:sz w:val="14"/>
          <w:vertAlign w:val="superscript"/>
          <w:lang w:val="en-US"/>
        </w:rPr>
      </w:pPr>
      <w:r>
        <w:rPr>
          <w:rFonts w:ascii="Arial" w:hAnsi="Arial" w:eastAsia="Arial"/>
          <w:color w:val="000000"/>
          <w:spacing w:val="3"/>
          <w:w w:val="100"/>
          <w:sz w:val="14"/>
          <w:vertAlign w:val="superscript"/>
          <w:lang w:val="en-US"/>
        </w:rPr>
        <w:t xml:space="preserve">3</w:t>
      </w:r>
      <w:r>
        <w:rPr>
          <w:rFonts w:ascii="Arial" w:hAnsi="Arial" w:eastAsia="Arial"/>
          <w:color w:val="000000"/>
          <w:spacing w:val="3"/>
          <w:w w:val="100"/>
          <w:sz w:val="24"/>
          <w:vertAlign w:val="baseline"/>
          <w:lang w:val="en-US"/>
        </w:rPr>
        <w:t xml:space="preserve"> See footnote one.</w:t>
      </w:r>
    </w:p>
    <w:p>
      <w:pPr>
        <w:pageBreakBefore w:val="false"/>
        <w:spacing w:before="286" w:after="0" w:line="275" w:lineRule="exact"/>
        <w:ind w:right="0" w:left="1440" w:firstLine="0"/>
        <w:jc w:val="left"/>
        <w:textAlignment w:val="baseline"/>
        <w:rPr>
          <w:rFonts w:ascii="Arial" w:hAnsi="Arial" w:eastAsia="Arial"/>
          <w:color w:val="000000"/>
          <w:spacing w:val="-1"/>
          <w:w w:val="100"/>
          <w:sz w:val="17"/>
          <w:vertAlign w:val="baseline"/>
          <w:lang w:val="en-US"/>
        </w:rPr>
      </w:pPr>
      <w:r>
        <w:rPr>
          <w:rFonts w:ascii="Arial" w:hAnsi="Arial" w:eastAsia="Arial"/>
          <w:color w:val="000000"/>
          <w:spacing w:val="-1"/>
          <w:w w:val="100"/>
          <w:sz w:val="17"/>
          <w:vertAlign w:val="baseline"/>
          <w:lang w:val="en-US"/>
        </w:rPr>
        <w:t xml:space="preserve">4 </w:t>
      </w:r>
      <w:r>
        <w:rPr>
          <w:rFonts w:ascii="Arial" w:hAnsi="Arial" w:eastAsia="Arial"/>
          <w:color w:val="000000"/>
          <w:spacing w:val="-1"/>
          <w:w w:val="100"/>
          <w:sz w:val="24"/>
          <w:vertAlign w:val="baseline"/>
          <w:lang w:val="en-US"/>
        </w:rPr>
        <w:t xml:space="preserve">Penal Law § 10.00(9); </w:t>
      </w:r>
      <w:r>
        <w:rPr>
          <w:rFonts w:ascii="Arial" w:hAnsi="Arial" w:eastAsia="Arial"/>
          <w:i w:val="true"/>
          <w:color w:val="000000"/>
          <w:spacing w:val="-1"/>
          <w:w w:val="100"/>
          <w:sz w:val="24"/>
          <w:vertAlign w:val="baseline"/>
          <w:lang w:val="en-US"/>
        </w:rPr>
        <w:t xml:space="preserve">See People v. Chiddick</w:t>
      </w:r>
      <w:r>
        <w:rPr>
          <w:rFonts w:ascii="Arial" w:hAnsi="Arial" w:eastAsia="Arial"/>
          <w:color w:val="000000"/>
          <w:spacing w:val="-1"/>
          <w:w w:val="100"/>
          <w:sz w:val="24"/>
          <w:vertAlign w:val="baseline"/>
          <w:lang w:val="en-US"/>
        </w:rPr>
        <w:t xml:space="preserve">, 8 NY3d 445 (2007).</w:t>
      </w:r>
    </w:p>
    <w:p>
      <w:pPr>
        <w:sectPr>
          <w:type w:val="nextPage"/>
          <w:pgSz w:w="12240" w:h="15840" w:orient="portrait"/>
          <w:pgMar w:bottom="544" w:top="1080" w:right="1440" w:left="1440" w:header="720" w:footer="0"/>
          <w:titlePg w:val="false"/>
          <w:textDirection w:val="lrTb"/>
        </w:sectPr>
      </w:pPr>
    </w:p>
    <w:p>
      <w:pPr>
        <w:pageBreakBefore w:val="false"/>
        <w:spacing w:before="44" w:after="0" w:line="318"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of physical injury to another person.</w:t>
      </w:r>
      <w:r>
        <w:rPr>
          <w:rFonts w:ascii="Arial" w:hAnsi="Arial" w:eastAsia="Arial"/>
          <w:color w:val="000000"/>
          <w:spacing w:val="-1"/>
          <w:w w:val="100"/>
          <w:sz w:val="28"/>
          <w:vertAlign w:val="superscript"/>
          <w:lang w:val="en-US"/>
        </w:rPr>
        <w:t xml:space="preserve">5</w:t>
      </w:r>
      <w:r>
        <w:rPr>
          <w:rFonts w:ascii="Arial" w:hAnsi="Arial" w:eastAsia="Arial"/>
          <w:color w:val="000000"/>
          <w:spacing w:val="-1"/>
          <w:w w:val="100"/>
          <w:sz w:val="17"/>
          <w:vertAlign w:val="baseline"/>
          <w:lang w:val="en-US"/>
        </w:rPr>
        <w:t xml:space="preserve">
</w:t>
      </w:r>
    </w:p>
    <w:p>
      <w:pPr>
        <w:pageBreakBefore w:val="false"/>
        <w:spacing w:before="335" w:after="0" w:line="322"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person RECKLESSLY engages in conduct which creates a substantial risk that physical injury to another person will occur</w:t>
      </w:r>
    </w:p>
    <w:p>
      <w:pPr>
        <w:pageBreakBefore w:val="false"/>
        <w:spacing w:before="322" w:after="0" w:line="326"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when he or she engages in such conduct and is aware of and consciously disregards such risk,</w:t>
      </w:r>
    </w:p>
    <w:p>
      <w:pPr>
        <w:pageBreakBefore w:val="false"/>
        <w:spacing w:before="322" w:after="0" w:line="323"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when the risk of physical injury is of such nature and degree that disregard of that risk constitutes a gross deviation from the standard of conduct that a reasonable person would observe in the situation.</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32" w:after="0" w:line="321"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Where there is evidence of voluntary intoxication on the part of the defendant, add:</w:t>
      </w:r>
    </w:p>
    <w:p>
      <w:pPr>
        <w:pageBreakBefore w:val="false"/>
        <w:spacing w:before="8" w:after="0" w:line="319" w:lineRule="exact"/>
        <w:ind w:right="0" w:left="72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also acts recklessly when he or she creates such a risk but is unaware of that risk solely by reason of his or her voluntary intoxication.</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w:t>
      </w:r>
    </w:p>
    <w:p>
      <w:pPr>
        <w:pageBreakBefore w:val="false"/>
        <w:spacing w:before="333"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That on or about </w:t>
      </w:r>
      <w:r>
        <w:rPr>
          <w:rFonts w:ascii="Arial" w:hAnsi="Arial" w:eastAsia="Arial"/>
          <w:i w:val="true"/>
          <w:color w:val="000000"/>
          <w:spacing w:val="-3"/>
          <w:w w:val="100"/>
          <w:sz w:val="23"/>
          <w:u w:val="single"/>
          <w:vertAlign w:val="baseline"/>
          <w:lang w:val="en-US"/>
        </w:rPr>
        <w:t xml:space="preserve"> (date) </w:t>
      </w:r>
      <w:r>
        <w:rPr>
          <w:rFonts w:ascii="Arial" w:hAnsi="Arial" w:eastAsia="Arial"/>
          <w:color w:val="000000"/>
          <w:spacing w:val="-3"/>
          <w:w w:val="100"/>
          <w:sz w:val="28"/>
          <w:vertAlign w:val="baseline"/>
          <w:lang w:val="en-US"/>
        </w:rPr>
        <w:t xml:space="preserve"> , in the County of </w:t>
      </w:r>
      <w:r>
        <w:rPr>
          <w:rFonts w:ascii="Arial" w:hAnsi="Arial" w:eastAsia="Arial"/>
          <w:i w:val="true"/>
          <w:color w:val="000000"/>
          <w:spacing w:val="-3"/>
          <w:w w:val="100"/>
          <w:sz w:val="23"/>
          <w:u w:val="single"/>
          <w:vertAlign w:val="baseline"/>
          <w:lang w:val="en-US"/>
        </w:rPr>
        <w:t xml:space="preserve"> (county) </w:t>
      </w:r>
      <w:r>
        <w:rPr>
          <w:rFonts w:ascii="Arial" w:hAnsi="Arial" w:eastAsia="Arial"/>
          <w:color w:val="000000"/>
          <w:spacing w:val="-3"/>
          <w:w w:val="100"/>
          <w:sz w:val="28"/>
          <w:vertAlign w:val="baseline"/>
          <w:lang w:val="en-US"/>
        </w:rPr>
        <w:t xml:space="preserve"> , the defendant, </w:t>
      </w:r>
      <w:r>
        <w:rPr>
          <w:rFonts w:ascii="Arial" w:hAnsi="Arial" w:eastAsia="Arial"/>
          <w:i w:val="true"/>
          <w:color w:val="000000"/>
          <w:spacing w:val="-3"/>
          <w:w w:val="100"/>
          <w:sz w:val="23"/>
          <w:u w:val="single"/>
          <w:vertAlign w:val="baseline"/>
          <w:lang w:val="en-US"/>
        </w:rPr>
        <w:t xml:space="preserve"> (defendant's name) </w:t>
      </w:r>
      <w:r>
        <w:rPr>
          <w:rFonts w:ascii="Arial" w:hAnsi="Arial" w:eastAsia="Arial"/>
          <w:color w:val="000000"/>
          <w:spacing w:val="-3"/>
          <w:w w:val="100"/>
          <w:sz w:val="28"/>
          <w:vertAlign w:val="baseline"/>
          <w:lang w:val="en-US"/>
        </w:rPr>
        <w:t xml:space="preserve"> , in the course of </w:t>
      </w:r>
      <w:r>
        <w:rPr>
          <w:rFonts w:ascii="Arial" w:hAnsi="Arial" w:eastAsia="Arial"/>
          <w:i w:val="true"/>
          <w:color w:val="000000"/>
          <w:spacing w:val="-3"/>
          <w:w w:val="100"/>
          <w:sz w:val="23"/>
          <w:u w:val="single"/>
          <w:vertAlign w:val="baseline"/>
          <w:lang w:val="en-US"/>
        </w:rPr>
        <w:t xml:space="preserve"> (specify)</w:t>
      </w:r>
      <w:r>
        <w:rPr>
          <w:rFonts w:ascii="Arial" w:hAnsi="Arial" w:eastAsia="Arial"/>
          <w:i w:val="true"/>
          <w:color w:val="000000"/>
          <w:spacing w:val="-3"/>
          <w:w w:val="100"/>
          <w:sz w:val="23"/>
          <w:vertAlign w:val="baseline"/>
          <w:lang w:val="en-US"/>
        </w:rPr>
        <w:t xml:space="preserve"> </w:t>
      </w:r>
      <w:r>
        <w:rPr>
          <w:rFonts w:ascii="Arial" w:hAnsi="Arial" w:eastAsia="Arial"/>
          <w:color w:val="000000"/>
          <w:spacing w:val="-3"/>
          <w:w w:val="100"/>
          <w:sz w:val="28"/>
          <w:vertAlign w:val="baseline"/>
          <w:lang w:val="en-US"/>
        </w:rPr>
        <w:t xml:space="preserve">'s initiation or affiliation with </w:t>
      </w:r>
      <w:r>
        <w:rPr>
          <w:rFonts w:ascii="Arial" w:hAnsi="Arial" w:eastAsia="Arial"/>
          <w:i w:val="true"/>
          <w:color w:val="000000"/>
          <w:spacing w:val="-3"/>
          <w:w w:val="100"/>
          <w:sz w:val="23"/>
          <w:u w:val="single"/>
          <w:vertAlign w:val="baseline"/>
          <w:lang w:val="en-US"/>
        </w:rPr>
        <w:t xml:space="preserve"> (name of organization) </w:t>
      </w:r>
      <w:r>
        <w:rPr>
          <w:rFonts w:ascii="Arial" w:hAnsi="Arial" w:eastAsia="Arial"/>
          <w:color w:val="000000"/>
          <w:spacing w:val="-3"/>
          <w:w w:val="100"/>
          <w:sz w:val="28"/>
          <w:vertAlign w:val="baseline"/>
          <w:lang w:val="en-US"/>
        </w:rPr>
        <w:t xml:space="preserve"> , engaged in conduct, including, but not limited to, making physical contact with or requiring physical activity of such other person,</w:t>
      </w:r>
      <w:r>
        <w:rPr>
          <w:rFonts w:ascii="Arial" w:hAnsi="Arial" w:eastAsia="Arial"/>
          <w:color w:val="000000"/>
          <w:spacing w:val="-3"/>
          <w:w w:val="100"/>
          <w:sz w:val="28"/>
          <w:vertAlign w:val="superscript"/>
          <w:lang w:val="en-US"/>
        </w:rPr>
        <w:t xml:space="preserve">8</w:t>
      </w:r>
      <w:r>
        <w:rPr>
          <w:rFonts w:ascii="Arial" w:hAnsi="Arial" w:eastAsia="Arial"/>
          <w:color w:val="000000"/>
          <w:spacing w:val="-3"/>
          <w:w w:val="100"/>
          <w:sz w:val="28"/>
          <w:vertAlign w:val="baseline"/>
          <w:lang w:val="en-US"/>
        </w:rPr>
        <w:t xml:space="preserve"> which created a substantial risk of physical injury to </w:t>
      </w:r>
      <w:r>
        <w:rPr>
          <w:rFonts w:ascii="Arial" w:hAnsi="Arial" w:eastAsia="Arial"/>
          <w:i w:val="true"/>
          <w:color w:val="000000"/>
          <w:spacing w:val="-3"/>
          <w:w w:val="100"/>
          <w:sz w:val="23"/>
          <w:u w:val="single"/>
          <w:vertAlign w:val="baseline"/>
          <w:lang w:val="en-US"/>
        </w:rPr>
        <w:t xml:space="preserve"> (specify) </w:t>
      </w:r>
      <w:r>
        <w:rPr>
          <w:rFonts w:ascii="Arial" w:hAnsi="Arial" w:eastAsia="Arial"/>
          <w:color w:val="000000"/>
          <w:spacing w:val="-3"/>
          <w:w w:val="100"/>
          <w:sz w:val="28"/>
          <w:vertAlign w:val="baseline"/>
          <w:lang w:val="en-US"/>
        </w:rPr>
        <w:t xml:space="preserve"> ; and</w:t>
      </w:r>
    </w:p>
    <w:p>
      <w:pPr>
        <w:pageBreakBefore w:val="false"/>
        <w:numPr>
          <w:ilvl w:val="0"/>
          <w:numId w:val="1"/>
        </w:numPr>
        <w:tabs>
          <w:tab w:val="clear" w:pos="720"/>
          <w:tab w:val="left" w:pos="1440"/>
        </w:tabs>
        <w:spacing w:before="327" w:after="307"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engaged in such conduct intentionally or recklessly.</w:t>
      </w:r>
    </w:p>
    <w:p>
      <w:pPr>
        <w:pageBreakBefore w:val="false"/>
        <w:spacing w:before="277" w:after="0" w:line="293" w:lineRule="exact"/>
        <w:ind w:right="0" w:left="288" w:firstLine="0"/>
        <w:jc w:val="left"/>
        <w:textAlignment w:val="baseline"/>
        <w:rPr>
          <w:rFonts w:ascii="Arial" w:hAnsi="Arial" w:eastAsia="Arial"/>
          <w:color w:val="000000"/>
          <w:spacing w:val="0"/>
          <w:w w:val="100"/>
          <w:sz w:val="17"/>
          <w:vertAlign w:val="baseline"/>
          <w:lang w:val="en-US"/>
        </w:rPr>
      </w:pPr>
      <w:r>
        <w:pict>
          <v:line strokeweight="1.2pt" strokecolor="#000000" from="108pt,605.05pt" to="252.05pt,605.05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5 </w:t>
      </w:r>
      <w:r>
        <w:rPr>
          <w:rFonts w:ascii="Arial" w:hAnsi="Arial" w:eastAsia="Arial"/>
          <w:i w:val="true"/>
          <w:color w:val="000000"/>
          <w:spacing w:val="0"/>
          <w:w w:val="100"/>
          <w:sz w:val="22"/>
          <w:vertAlign w:val="baseline"/>
          <w:lang w:val="en-US"/>
        </w:rPr>
        <w:t xml:space="preserve">See </w:t>
      </w:r>
      <w:r>
        <w:rPr>
          <w:rFonts w:ascii="Arial" w:hAnsi="Arial" w:eastAsia="Arial"/>
          <w:color w:val="000000"/>
          <w:spacing w:val="0"/>
          <w:w w:val="100"/>
          <w:sz w:val="24"/>
          <w:vertAlign w:val="baseline"/>
          <w:lang w:val="en-US"/>
        </w:rPr>
        <w:t xml:space="preserve">Penal Law § 15.05(1).</w:t>
      </w:r>
    </w:p>
    <w:p>
      <w:pPr>
        <w:pageBreakBefore w:val="false"/>
        <w:spacing w:before="268" w:after="0" w:line="300" w:lineRule="exact"/>
        <w:ind w:right="0" w:left="288" w:firstLine="0"/>
        <w:jc w:val="left"/>
        <w:textAlignment w:val="baseline"/>
        <w:rPr>
          <w:rFonts w:ascii="Arial" w:hAnsi="Arial" w:eastAsia="Arial"/>
          <w:color w:val="000000"/>
          <w:spacing w:val="-2"/>
          <w:w w:val="100"/>
          <w:sz w:val="17"/>
          <w:vertAlign w:val="baseline"/>
          <w:lang w:val="en-US"/>
        </w:rPr>
      </w:pPr>
      <w:r>
        <w:rPr>
          <w:rFonts w:ascii="Arial" w:hAnsi="Arial" w:eastAsia="Arial"/>
          <w:color w:val="000000"/>
          <w:spacing w:val="-2"/>
          <w:w w:val="100"/>
          <w:sz w:val="17"/>
          <w:vertAlign w:val="baseline"/>
          <w:lang w:val="en-US"/>
        </w:rPr>
        <w:t xml:space="preserve">6 </w:t>
      </w:r>
      <w:r>
        <w:rPr>
          <w:rFonts w:ascii="Arial" w:hAnsi="Arial" w:eastAsia="Arial"/>
          <w:i w:val="true"/>
          <w:color w:val="000000"/>
          <w:spacing w:val="-2"/>
          <w:w w:val="100"/>
          <w:sz w:val="24"/>
          <w:vertAlign w:val="baseline"/>
          <w:lang w:val="en-US"/>
        </w:rPr>
        <w:t xml:space="preserve">See </w:t>
      </w:r>
      <w:r>
        <w:rPr>
          <w:rFonts w:ascii="Arial" w:hAnsi="Arial" w:eastAsia="Arial"/>
          <w:color w:val="000000"/>
          <w:spacing w:val="-2"/>
          <w:w w:val="100"/>
          <w:sz w:val="24"/>
          <w:vertAlign w:val="baseline"/>
          <w:lang w:val="en-US"/>
        </w:rPr>
        <w:t xml:space="preserve">Penal Law § 15.05(3); </w:t>
      </w:r>
      <w:r>
        <w:rPr>
          <w:rFonts w:ascii="Arial" w:hAnsi="Arial" w:eastAsia="Arial"/>
          <w:i w:val="true"/>
          <w:color w:val="000000"/>
          <w:spacing w:val="-2"/>
          <w:w w:val="100"/>
          <w:sz w:val="24"/>
          <w:vertAlign w:val="baseline"/>
          <w:lang w:val="en-US"/>
        </w:rPr>
        <w:t xml:space="preserve">People v. Boutin</w:t>
      </w:r>
      <w:r>
        <w:rPr>
          <w:rFonts w:ascii="Arial" w:hAnsi="Arial" w:eastAsia="Arial"/>
          <w:color w:val="000000"/>
          <w:spacing w:val="-2"/>
          <w:w w:val="100"/>
          <w:sz w:val="24"/>
          <w:vertAlign w:val="baseline"/>
          <w:lang w:val="en-US"/>
        </w:rPr>
        <w:t xml:space="preserve">, 75 NY2d 692, 696 (1990).</w:t>
      </w:r>
    </w:p>
    <w:p>
      <w:pPr>
        <w:pageBreakBefore w:val="false"/>
        <w:spacing w:before="272" w:after="0" w:line="288" w:lineRule="exact"/>
        <w:ind w:right="0" w:left="288"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7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15.05(3).</w:t>
      </w:r>
    </w:p>
    <w:p>
      <w:pPr>
        <w:pageBreakBefore w:val="false"/>
        <w:spacing w:before="253" w:after="0" w:line="273" w:lineRule="exact"/>
        <w:ind w:right="0" w:left="0" w:firstLine="0"/>
        <w:jc w:val="left"/>
        <w:textAlignment w:val="baseline"/>
        <w:rPr>
          <w:rFonts w:ascii="Arial" w:hAnsi="Arial" w:eastAsia="Arial"/>
          <w:color w:val="000000"/>
          <w:spacing w:val="3"/>
          <w:w w:val="100"/>
          <w:sz w:val="14"/>
          <w:vertAlign w:val="superscript"/>
          <w:lang w:val="en-US"/>
        </w:rPr>
      </w:pPr>
      <w:r>
        <w:rPr>
          <w:rFonts w:ascii="Arial" w:hAnsi="Arial" w:eastAsia="Arial"/>
          <w:color w:val="000000"/>
          <w:spacing w:val="3"/>
          <w:w w:val="100"/>
          <w:sz w:val="14"/>
          <w:vertAlign w:val="superscript"/>
          <w:lang w:val="en-US"/>
        </w:rPr>
        <w:t xml:space="preserve">8</w:t>
      </w:r>
      <w:r>
        <w:rPr>
          <w:rFonts w:ascii="Arial" w:hAnsi="Arial" w:eastAsia="Arial"/>
          <w:color w:val="000000"/>
          <w:spacing w:val="3"/>
          <w:w w:val="100"/>
          <w:sz w:val="24"/>
          <w:vertAlign w:val="baseline"/>
          <w:lang w:val="en-US"/>
        </w:rPr>
        <w:t xml:space="preserve"> See footnote one.</w:t>
      </w:r>
    </w:p>
    <w:p>
      <w:pPr>
        <w:sectPr>
          <w:footerReference w:type="default" r:id="fId0"/>
          <w:type w:val="nextPage"/>
          <w:pgSz w:w="12240" w:h="15840" w:orient="portrait"/>
          <w:pgMar w:bottom="885" w:top="1040" w:right="2140" w:left="2160" w:header="720" w:footer="1041"/>
          <w:titlePg w:val="false"/>
          <w:textDirection w:val="lrTb"/>
        </w:sectPr>
      </w:pPr>
    </w:p>
    <w:p>
      <w:pPr>
        <w:pageBreakBefore w:val="false"/>
        <w:spacing w:before="2"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18" w:after="0" w:line="326"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sectPr>
      <w:type w:val="nextPage"/>
      <w:pgSz w:w="12240" w:h="15840" w:orient="portrait"/>
      <w:pgMar w:bottom="876" w:top="1080" w:right="2145" w:left="2155" w:header="720" w:footer="1036"/>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26"/>
      </w:tabs>
      <w:spacing w:before="0" w:after="0" w:line="278" w:lineRule="exact"/>
      <w:ind w:right="0" w:left="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ab/>
    </w:r>
    <w:r>
      <w:rPr>
        <w:rFonts w:ascii="Arial" w:hAnsi="Arial" w:eastAsia="Arial"/>
        <w:color w:val="000000"/>
        <w:spacing w:val="0"/>
        <w:w w:val="100"/>
        <w:sz w:val="26"/>
        <w:vertAlign w:val="baseline"/>
        <w:lang w:val="en-US"/>
      </w:rPr>
      <w:fldChar w:fldCharType="begin"/>
    </w:r>
    <w:r>
      <w:rPr>
        <w:rFonts w:ascii="Arial" w:hAnsi="Arial" w:eastAsia="Arial"/>
        <w:color w:val="000000"/>
        <w:spacing w:val="0"/>
        <w:w w:val="100"/>
        <w:sz w:val="26"/>
        <w:vertAlign w:val="baseline"/>
        <w:lang w:val="en-US"/>
      </w:rPr>
      <w:instrText xml:space="preserve">PAGE</w:instrText>
    </w:r>
    <w:r>
      <w:rPr>
        <w:rFonts w:ascii="Arial" w:hAnsi="Arial" w:eastAsia="Arial"/>
        <w:color w:val="000000"/>
        <w:spacing w:val="0"/>
        <w:w w:val="100"/>
        <w:sz w:val="26"/>
        <w:vertAlign w:val="baseline"/>
        <w:lang w:val="en-US"/>
      </w:rPr>
      <w:fldChar w:fldCharType="end"/>
    </w:r>
    <w:r>
      <w:rPr>
        <w:rFonts w:ascii="Arial" w:hAnsi="Arial" w:eastAsia="Arial"/>
        <w:color w:val="000000"/>
        <w:spacing w:val="0"/>
        <w:w w:val="100"/>
        <w:sz w:val="26"/>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3"/>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