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0" w:after="0" w:line="30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26"/>
          <w:vertAlign w:val="baseline"/>
          <w:lang w:val="en-US"/>
        </w:rPr>
        <w:t xml:space="preserve">AGGRAVATED ASSAULT UPON A POLICE OR PEACE OFFICER</w:t>
        <w:br/>
      </w:r>
      <w:r>
        <w:rPr>
          <w:rFonts w:ascii="Arial" w:hAnsi="Arial" w:eastAsia="Arial"/>
          <w:b w:val="true"/>
          <w:color w:val="000000"/>
          <w:spacing w:val="-4"/>
          <w:w w:val="100"/>
          <w:sz w:val="26"/>
          <w:vertAlign w:val="baseline"/>
          <w:lang w:val="en-US"/>
        </w:rPr>
        <w:t xml:space="preserve">PENAL LAW 120.11</w:t>
        <w:br/>
      </w:r>
      <w:r>
        <w:rPr>
          <w:rFonts w:ascii="Arial" w:hAnsi="Arial" w:eastAsia="Arial"/>
          <w:b w:val="true"/>
          <w:color w:val="000000"/>
          <w:spacing w:val="-4"/>
          <w:w w:val="100"/>
          <w:sz w:val="26"/>
          <w:vertAlign w:val="baseline"/>
          <w:lang w:val="en-US"/>
        </w:rPr>
        <w:t xml:space="preserve">(Committed on or after Nov. 1, 1993)</w:t>
      </w:r>
      <w:r>
        <w:rPr>
          <w:rFonts w:ascii="Arial" w:hAnsi="Arial" w:eastAsia="Arial"/>
          <w:b w:val="true"/>
          <w:color w:val="000000"/>
          <w:spacing w:val="-4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-4"/>
          <w:w w:val="100"/>
          <w:sz w:val="16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color w:val="000000"/>
          <w:spacing w:val="-4"/>
          <w:w w:val="100"/>
          <w:sz w:val="28"/>
          <w:vertAlign w:val="baseline"/>
          <w:lang w:val="en-US"/>
        </w:rPr>
        <w:t xml:space="preserve">Revised April, 2018 </w:t>
      </w:r>
      <w:r>
        <w:rPr>
          <w:rFonts w:ascii="Arial" w:hAnsi="Arial" w:eastAsia="Arial"/>
          <w:b w:val="true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1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The </w:t>
      </w:r>
      <w:r>
        <w:rPr>
          <w:rFonts w:ascii="Arial" w:hAnsi="Arial" w:eastAsia="Arial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count is Aggravated Assault Upon a Police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Peace Officer].</w:t>
      </w:r>
    </w:p>
    <w:p>
      <w:pPr>
        <w:pageBreakBefore w:val="false"/>
        <w:spacing w:before="284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Under our law, a person is guilty of Aggravated Assault Upon a Police Officer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a Peace Officer] when, with intent to cause serious physical injury to a person whom he or she knows or reasonably should know to be a police officer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a peace officer] engaged in the course of performing his or her official duties, that person causes such injury by means of a deadly weapon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dangerous instrument].</w:t>
      </w:r>
    </w:p>
    <w:p>
      <w:pPr>
        <w:pageBreakBefore w:val="false"/>
        <w:spacing w:before="321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The following terms used in that definition have a special meaning:</w:t>
      </w:r>
      <w:r>
        <w:rPr>
          <w:rFonts w:ascii="Arial" w:hAnsi="Arial" w:eastAsia="Arial"/>
          <w:color w:val="000000"/>
          <w:spacing w:val="0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91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-4"/>
          <w:w w:val="100"/>
          <w:sz w:val="26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97" w:after="710" w:line="29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INTENT means conscious objective or purpose. Thus, a person acts with intent to cause serious physical injury to a person whom he or she knows or reasonably should know to be a police officer [</w:t>
      </w:r>
      <w:r>
        <w:rPr>
          <w:rFonts w:ascii="Arial" w:hAnsi="Arial" w:eastAsia="Arial"/>
          <w:i w:val="true"/>
          <w:color w:val="000000"/>
          <w:spacing w:val="-3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a peace officer] engaged in the course of performing his or her official</w:t>
      </w:r>
    </w:p>
    <w:p>
      <w:pPr>
        <w:pageBreakBefore w:val="false"/>
        <w:spacing w:before="278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</w:pPr>
      <w:r>
        <w:pict>
          <v:line strokeweight="1.2pt" strokecolor="#000000" from="108pt,492.95pt" to="252.05pt,492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This charge applies when the crime was committed on or after November 1, 1993, except as to the following weapons which were added to the definition of "deadly weapon" [Penal Law § 10.00(12)] after that date:</w:t>
      </w:r>
    </w:p>
    <w:p>
      <w:pPr>
        <w:pageBreakBefore w:val="false"/>
        <w:spacing w:before="279" w:after="0" w:line="273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November 1, 1995, was the effective date of an amendment to the definition of "deadly weapon" to add a "metal knuckle knife." L. 1995, ch. 219.</w:t>
      </w:r>
    </w:p>
    <w:p>
      <w:pPr>
        <w:pageBreakBefore w:val="false"/>
        <w:spacing w:before="273" w:after="0" w:line="27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November 1, 2008, was the effective date of an amendment also to that definition to add "plastic knuckles." L. 2008, ch. 257.</w:t>
      </w:r>
    </w:p>
    <w:p>
      <w:pPr>
        <w:pageBreakBefore w:val="false"/>
        <w:spacing w:before="270" w:after="0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 2018 revision was to include the statutory additions to the definition of "deadly weapon" and the decisional law definitions of weapons as set forth in footnote five.</w:t>
      </w:r>
    </w:p>
    <w:p>
      <w:pPr>
        <w:pageBreakBefore w:val="false"/>
        <w:spacing w:before="276" w:after="0" w:line="275" w:lineRule="exact"/>
        <w:ind w:right="0" w:left="0" w:firstLine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CPL § 1.20(34) for the definition of police officer; and CPL § 2.10 for the definition of peace officer.</w:t>
      </w:r>
    </w:p>
    <w:p>
      <w:pPr>
        <w:pageBreakBefore w:val="false"/>
        <w:spacing w:before="253" w:after="0" w:line="289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284" w:top="72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50" w:after="0" w:line="29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pict>
          <v:line strokeweight="0.95pt" strokecolor="#000000" from="107.75pt,593.05pt" to="252.05pt,593.0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duties when that person's conscious objective or purpose is to do so.</w:t>
      </w:r>
      <w:r>
        <w:rPr>
          <w:rFonts w:ascii="Arial" w:hAnsi="Arial" w:eastAsia="Arial"/>
          <w:color w:val="000000"/>
          <w:spacing w:val="-3"/>
          <w:w w:val="100"/>
          <w:sz w:val="26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3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03" w:after="0" w:line="29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6"/>
          <w:vertAlign w:val="baseline"/>
          <w:lang w:val="en-US"/>
        </w:rPr>
        <w:t xml:space="preserve">DEADLY WEAPON means:</w:t>
      </w:r>
    </w:p>
    <w:p>
      <w:pPr>
        <w:pageBreakBefore w:val="false"/>
        <w:spacing w:before="301" w:after="0" w:line="295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288" w:after="0" w:line="302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any loaded weapon from which a shot, readily capable of producing death or other serious physical injury, may be discharged.</w:t>
      </w:r>
    </w:p>
    <w:p>
      <w:pPr>
        <w:pageBreakBefore w:val="false"/>
        <w:spacing w:before="290" w:after="0" w:line="300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switchblade knife defined as any knife having a blade which opens automatically by hand pressure applied to a button, spring or other device in the handle of the knife.</w:t>
      </w:r>
    </w:p>
    <w:p>
      <w:pPr>
        <w:pageBreakBefore w:val="false"/>
        <w:spacing w:before="300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pilum ballistic knife defined as any knife having a blade which can be projected from the handle by hand pressure applied to a button, lever, spring or other device in the handle of the knife.</w:t>
      </w:r>
    </w:p>
    <w:p>
      <w:pPr>
        <w:pageBreakBefore w:val="false"/>
        <w:spacing w:before="295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metal knuckle knife, defined as a weapon that, when closed, cannot function as a set of plastic knuckles or metal knuckles, nor as a knife and when open, can function as both a set of plastic knuckles or metal knuckles as well as a knife.</w:t>
      </w:r>
    </w:p>
    <w:p>
      <w:pPr>
        <w:pageBreakBefore w:val="false"/>
        <w:spacing w:before="305" w:after="0" w:line="29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metal knuckles, defined as a metal object with multiple holes, through which individual places his or her fingers so that a metal bar rests atop the individual's knuckles.</w:t>
      </w:r>
    </w:p>
    <w:p>
      <w:pPr>
        <w:pageBreakBefore w:val="false"/>
        <w:spacing w:before="305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billy, defined as a cylindrical or rounded, rigid, club or baton with a handle grip which, from its appearance and inherent characteristics, is designed to be used as a striking weapon and not for other lawful purposes.</w:t>
      </w:r>
    </w:p>
    <w:p>
      <w:pPr>
        <w:pageBreakBefore w:val="false"/>
        <w:spacing w:before="297" w:after="0" w:line="29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dagger</w:t>
      </w:r>
    </w:p>
    <w:p>
      <w:pPr>
        <w:pageBreakBefore w:val="false"/>
        <w:spacing w:before="306" w:after="0" w:line="29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blackjack</w:t>
      </w:r>
    </w:p>
    <w:p>
      <w:pPr>
        <w:pageBreakBefore w:val="false"/>
        <w:spacing w:before="294" w:after="401" w:line="29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plastic knuckles. </w:t>
      </w:r>
      <w:r>
        <w:rPr>
          <w:rFonts w:ascii="Arial" w:hAnsi="Arial" w:eastAsia="Arial"/>
          <w:color w:val="000000"/>
          <w:spacing w:val="-4"/>
          <w:w w:val="100"/>
          <w:sz w:val="26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17" w:after="0" w:line="29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15.05(1).</w:t>
      </w:r>
    </w:p>
    <w:p>
      <w:pPr>
        <w:pageBreakBefore w:val="false"/>
        <w:tabs>
          <w:tab w:val="right" w:leader="none" w:pos="7920"/>
        </w:tabs>
        <w:spacing w:before="274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5	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10.00(12) defines "deadly weapon." See Penal Law</w:t>
      </w:r>
    </w:p>
    <w:p>
      <w:pPr>
        <w:pageBreakBefore w:val="false"/>
        <w:spacing w:before="16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§ 265.00 for the definitions of "switchblade knife," "gravity knife," "pilum ballistic knife" and "metal knuckle knife";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Aragon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28 N.Y.3d 125 (2016) (for the definition of "metal knuckles");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Ocasio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28 N.Y.3d 178 (2016) (for the definition of "billy").</w:t>
      </w:r>
    </w:p>
    <w:p>
      <w:pPr>
        <w:pageBreakBefore w:val="false"/>
        <w:spacing w:before="0" w:after="0" w:line="276" w:lineRule="exact"/>
        <w:ind w:right="0" w:left="0" w:firstLine="432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There is no controlling statutory or decisional law definition of "plastic knuckles" albeit the legislative memorandum in support of adding that term</w:t>
      </w:r>
    </w:p>
    <w:p>
      <w:pPr>
        <w:sectPr>
          <w:footerReference w:type="default" r:id="fId0"/>
          <w:type w:val="nextPage"/>
          <w:pgSz w:w="12240" w:h="15840" w:orient="portrait"/>
          <w:pgMar w:bottom="610" w:top="680" w:right="2145" w:left="2155" w:header="720" w:footer="768"/>
          <w:titlePg w:val="false"/>
          <w:textDirection w:val="lrTb"/>
        </w:sectPr>
      </w:pPr>
    </w:p>
    <w:p>
      <w:pPr>
        <w:pageBreakBefore w:val="false"/>
        <w:spacing w:before="9" w:after="0" w:line="29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[DANGEROUS INSTRUMENT means any instrument, article or substance (including a vehicle) which, under the circumstances in which it is used, attempted to be used, or threatened to be used, is readily capable of causing death or other serious physical injury.]</w:t>
      </w:r>
      <w:r>
        <w:rPr>
          <w:rFonts w:ascii="Arial" w:hAnsi="Arial" w:eastAsia="Arial"/>
          <w:color w:val="000000"/>
          <w:spacing w:val="0"/>
          <w:w w:val="100"/>
          <w:sz w:val="26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01" w:after="0" w:line="29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95" w:after="0" w:line="29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(name of officer)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dangerous instrument];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02" w:after="0" w:line="298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That the defendant did so with the intent to cause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(name of officer)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95" w:after="0" w:line="298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  <w:t xml:space="preserve">That </w:t>
      </w:r>
      <w:r>
        <w:rPr>
          <w:rFonts w:ascii="Arial" w:hAnsi="Arial" w:eastAsia="Arial"/>
          <w:i w:val="true"/>
          <w:color w:val="000000"/>
          <w:spacing w:val="-5"/>
          <w:w w:val="100"/>
          <w:sz w:val="21"/>
          <w:u w:val="single"/>
          <w:vertAlign w:val="baseline"/>
          <w:lang w:val="en-US"/>
        </w:rPr>
        <w:t xml:space="preserve"> (name of officer) </w:t>
      </w:r>
      <w:r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  <w:t xml:space="preserve"> was a police officer [</w:t>
      </w:r>
      <w:r>
        <w:rPr>
          <w:rFonts w:ascii="Arial" w:hAnsi="Arial" w:eastAsia="Arial"/>
          <w:i w:val="true"/>
          <w:color w:val="000000"/>
          <w:spacing w:val="-5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  <w:t xml:space="preserve">a peace officer] engaged in the course of performing his/her official duties and the defendant knew or reasonably should have known that </w:t>
      </w:r>
      <w:r>
        <w:rPr>
          <w:rFonts w:ascii="Arial" w:hAnsi="Arial" w:eastAsia="Arial"/>
          <w:i w:val="true"/>
          <w:color w:val="000000"/>
          <w:spacing w:val="-5"/>
          <w:w w:val="100"/>
          <w:sz w:val="21"/>
          <w:u w:val="single"/>
          <w:vertAlign w:val="baseline"/>
          <w:lang w:val="en-US"/>
        </w:rPr>
        <w:t xml:space="preserve"> (name of officer) </w:t>
      </w:r>
      <w:r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  <w:t xml:space="preserve"> was a police officer [</w:t>
      </w:r>
      <w:r>
        <w:rPr>
          <w:rFonts w:ascii="Arial" w:hAnsi="Arial" w:eastAsia="Arial"/>
          <w:i w:val="true"/>
          <w:color w:val="000000"/>
          <w:spacing w:val="-5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5"/>
          <w:w w:val="100"/>
          <w:sz w:val="26"/>
          <w:vertAlign w:val="baseline"/>
          <w:lang w:val="en-US"/>
        </w:rPr>
        <w:t xml:space="preserve">a peace officer] engaged in the course of performing his/her official duties.</w:t>
      </w:r>
    </w:p>
    <w:p>
      <w:pPr>
        <w:pageBreakBefore w:val="false"/>
        <w:spacing w:before="588" w:after="0" w:line="30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01" w:after="2708" w:line="29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60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1.2pt" strokecolor="#000000" from="107.8pt,633.6pt" to="252.05pt,633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equated it with "brass [metal] knuckles"; thus, for the definition of "plastic knuckles," a court may wish to consider using the definition of "metal knuckles," substituting "plastic object" for "metal object" and "plastic bar" for "metal bar."</w:t>
      </w:r>
    </w:p>
    <w:p>
      <w:pPr>
        <w:pageBreakBefore w:val="false"/>
        <w:spacing w:before="257" w:after="0" w:line="291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10.00(13).</w:t>
      </w:r>
    </w:p>
    <w:sectPr>
      <w:type w:val="nextPage"/>
      <w:pgSz w:w="12240" w:h="15840" w:orient="portrait"/>
      <w:pgMar w:bottom="612" w:top="720" w:right="2126" w:left="2156" w:header="720" w:footer="76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1"/>
      </w:tabs>
      <w:spacing w:before="0" w:after="0" w:line="294" w:lineRule="exact"/>
      <w:ind w:right="0" w:left="0"/>
      <w:jc w:val="left"/>
      <w:textAlignment w:val="baseline"/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fldChar w:fldCharType="begin"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instrText xml:space="preserve">PAGE</w:instrText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fldChar w:fldCharType="end"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