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AGGRAVATED VEHICULAR ASSAULT</w:t>
        <w:br/>
      </w:r>
      <w:r>
        <w:rPr>
          <w:rFonts w:ascii="Arial" w:hAnsi="Arial" w:eastAsia="Arial"/>
          <w:b w:val="true"/>
          <w:color w:val="000000"/>
          <w:spacing w:val="0"/>
          <w:w w:val="100"/>
          <w:sz w:val="28"/>
          <w:vertAlign w:val="baseline"/>
          <w:lang w:val="en-US"/>
        </w:rPr>
        <w:t xml:space="preserve">(Serious Physical Injury of a Child)</w:t>
        <w:br/>
      </w:r>
      <w:r>
        <w:rPr>
          <w:rFonts w:ascii="Arial" w:hAnsi="Arial" w:eastAsia="Arial"/>
          <w:b w:val="true"/>
          <w:color w:val="000000"/>
          <w:spacing w:val="0"/>
          <w:w w:val="100"/>
          <w:sz w:val="28"/>
          <w:vertAlign w:val="baseline"/>
          <w:lang w:val="en-US"/>
        </w:rPr>
        <w:t xml:space="preserve">Penal Law § 120.04-a (6)</w:t>
        <w:br/>
      </w:r>
      <w:r>
        <w:rPr>
          <w:rFonts w:ascii="Arial" w:hAnsi="Arial" w:eastAsia="Arial"/>
          <w:b w:val="true"/>
          <w:color w:val="000000"/>
          <w:spacing w:val="0"/>
          <w:w w:val="100"/>
          <w:sz w:val="28"/>
          <w:vertAlign w:val="baseline"/>
          <w:lang w:val="en-US"/>
        </w:rPr>
        <w:t xml:space="preserve">(Committed on or after Dec. 18, 2009)</w:t>
      </w:r>
    </w:p>
    <w:p>
      <w:pPr>
        <w:pageBreakBefore w:val="false"/>
        <w:spacing w:before="308" w:after="0" w:line="320"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Aggravated Vehicular Assault.</w:t>
      </w:r>
    </w:p>
    <w:p>
      <w:pPr>
        <w:pageBreakBefore w:val="false"/>
        <w:spacing w:before="327"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Aggravated Vehicular Assault when he or she engages in Reckless Driving</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and commits the crime of Vehicular Assault in the Second Degree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r>
        <w:rPr>
          <w:rFonts w:ascii="Arial" w:hAnsi="Arial" w:eastAsia="Arial"/>
          <w:color w:val="000000"/>
          <w:spacing w:val="0"/>
          <w:w w:val="100"/>
          <w:sz w:val="28"/>
          <w:vertAlign w:val="baseline"/>
          <w:lang w:val="en-US"/>
        </w:rPr>
        <w:t xml:space="preserve">and does so</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while operating a motor vehicle while a child who is fifteen years of age or less is a passenger in such motor vehicle and causes serious physical injury to such child.</w:t>
      </w:r>
    </w:p>
    <w:p>
      <w:pPr>
        <w:pageBreakBefore w:val="false"/>
        <w:spacing w:before="327"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3" w:after="1154"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ENGAGES IN RECKLESS DRIVING when that person drives or uses any motor vehicle,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 in a manner which unreasonably interferes with the free and proper use of a public highway, road, street, or avenue, or unreasonably endangers</w:t>
      </w:r>
    </w:p>
    <w:p>
      <w:pPr>
        <w:pageBreakBefore w:val="false"/>
        <w:spacing w:before="240" w:after="0" w:line="290" w:lineRule="exact"/>
        <w:ind w:right="0" w:left="0" w:firstLine="720"/>
        <w:jc w:val="both"/>
        <w:textAlignment w:val="baseline"/>
        <w:rPr>
          <w:rFonts w:ascii="Arial" w:hAnsi="Arial" w:eastAsia="Arial"/>
          <w:color w:val="000000"/>
          <w:spacing w:val="0"/>
          <w:w w:val="100"/>
          <w:sz w:val="16"/>
          <w:vertAlign w:val="superscript"/>
          <w:lang w:val="en-US"/>
        </w:rPr>
      </w:pPr>
      <w:r>
        <w:pict>
          <v:line strokeweight="0.95pt" strokecolor="#000000" from="107.75pt,472.1pt" to="252.05pt,472.1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w:t>
      </w:r>
      <w:r>
        <w:rPr>
          <w:rFonts w:ascii="Arial" w:hAnsi="Arial" w:eastAsia="Arial"/>
          <w:color w:val="000000"/>
          <w:spacing w:val="0"/>
          <w:w w:val="100"/>
          <w:sz w:val="24"/>
          <w:vertAlign w:val="baseline"/>
          <w:lang w:val="en-US"/>
        </w:rPr>
        <w:t xml:space="preserve"> At this point, the statute continues: “as defined by section twelve hundred twelve of the vehicle and traffic law.” That definition is utilized in this charge in the definition of “reckless driving.”</w:t>
      </w:r>
    </w:p>
    <w:p>
      <w:pPr>
        <w:pageBreakBefore w:val="false"/>
        <w:spacing w:before="222" w:after="0" w:line="29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w:t>
      </w:r>
      <w:r>
        <w:rPr>
          <w:rFonts w:ascii="Arial" w:hAnsi="Arial" w:eastAsia="Arial"/>
          <w:color w:val="000000"/>
          <w:spacing w:val="0"/>
          <w:w w:val="100"/>
          <w:sz w:val="24"/>
          <w:vertAlign w:val="baseline"/>
          <w:lang w:val="en-US"/>
        </w:rPr>
        <w:t xml:space="preserve"> At this point, the statute continues: “as defined in section 120.03 of this article.”</w:t>
      </w:r>
    </w:p>
    <w:p>
      <w:pPr>
        <w:pageBreakBefore w:val="false"/>
        <w:spacing w:before="229" w:after="0" w:line="29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3</w:t>
      </w:r>
      <w:r>
        <w:rPr>
          <w:rFonts w:ascii="Arial" w:hAnsi="Arial" w:eastAsia="Arial"/>
          <w:color w:val="000000"/>
          <w:spacing w:val="0"/>
          <w:w w:val="100"/>
          <w:sz w:val="24"/>
          <w:vertAlign w:val="baseline"/>
          <w:lang w:val="en-US"/>
        </w:rPr>
        <w:t xml:space="preserve"> For clarity and conformity to the charge for Penal Law § 120.04-a (1), the "and does so" is substituted for the statutory language of: "and commits such crime."</w:t>
      </w:r>
    </w:p>
    <w:p>
      <w:pPr>
        <w:pageBreakBefore w:val="false"/>
        <w:spacing w:before="223" w:after="0" w:line="29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4</w:t>
      </w:r>
      <w:r>
        <w:rPr>
          <w:rFonts w:ascii="Arial" w:hAnsi="Arial" w:eastAsia="Arial"/>
          <w:color w:val="000000"/>
          <w:spacing w:val="0"/>
          <w:w w:val="100"/>
          <w:sz w:val="24"/>
          <w:vertAlign w:val="baseline"/>
          <w:lang w:val="en-US"/>
        </w:rPr>
        <w:t xml:space="preserve"> At this point, the statute continues: “motorcycle or any other vehicle propelled by any power other than a muscular power or any appliance or accessory thereof.” (</w:t>
      </w:r>
      <w:r>
        <w:rPr>
          <w:rFonts w:ascii="Arial" w:hAnsi="Arial" w:eastAsia="Arial"/>
          <w:i w:val="true"/>
          <w:color w:val="000000"/>
          <w:spacing w:val="0"/>
          <w:w w:val="100"/>
          <w:sz w:val="24"/>
          <w:vertAlign w:val="baseline"/>
          <w:lang w:val="en-US"/>
        </w:rPr>
        <w:t xml:space="preserve">Vehicle &amp; Traffic Law § 1212</w:t>
      </w:r>
      <w:r>
        <w:rPr>
          <w:rFonts w:ascii="Arial" w:hAnsi="Arial" w:eastAsia="Arial"/>
          <w:color w:val="000000"/>
          <w:spacing w:val="0"/>
          <w:w w:val="100"/>
          <w:sz w:val="24"/>
          <w:vertAlign w:val="baseline"/>
          <w:lang w:val="en-US"/>
        </w:rPr>
        <w:t xml:space="preserve">). Such language has been omitted here due to the all encompassing term “motor vehicle.” The additional statutory language should, however, be inserted if that type of vehicle is at issue.</w:t>
      </w:r>
    </w:p>
    <w:p>
      <w:pPr>
        <w:sectPr>
          <w:type w:val="nextPage"/>
          <w:pgSz w:w="12240" w:h="15840" w:orient="portrait"/>
          <w:pgMar w:bottom="1024" w:top="1440" w:right="2145" w:left="2155" w:header="720" w:footer="720"/>
          <w:titlePg w:val="false"/>
          <w:textDirection w:val="lrTb"/>
        </w:sectPr>
      </w:pPr>
    </w:p>
    <w:p>
      <w:pPr>
        <w:pageBreakBefore w:val="false"/>
        <w:spacing w:before="40" w:after="0" w:line="323"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users of a public highway, road, street, or avenue.</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36" w:after="0" w:line="323"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Intoxication, absent more, does not establish reckless driving. One can engage in reckless driving without being intoxicated and, conversely, one can drive while intoxicated without engaging in reckless driving. Evidence of an individual's intoxication and how that condition may have affected his or her ability to perceive and react to risks commonly encountered while operating a motor vehicle on a public highway may be considered in determining whether a person was engaged in reckless driving when that evidence is coupled with evidence of the manner in which the motor vehicle was being operated.</w:t>
      </w:r>
      <w:r>
        <w:rPr>
          <w:rFonts w:ascii="Arial" w:hAnsi="Arial" w:eastAsia="Arial"/>
          <w:color w:val="000000"/>
          <w:spacing w:val="-3"/>
          <w:w w:val="100"/>
          <w:sz w:val="28"/>
          <w:vertAlign w:val="superscript"/>
          <w:lang w:val="en-US"/>
        </w:rPr>
        <w:t xml:space="preserve">6</w:t>
      </w:r>
      <w:r>
        <w:rPr>
          <w:rFonts w:ascii="Arial" w:hAnsi="Arial" w:eastAsia="Arial"/>
          <w:color w:val="000000"/>
          <w:spacing w:val="-3"/>
          <w:w w:val="100"/>
          <w:sz w:val="17"/>
          <w:vertAlign w:val="baseline"/>
          <w:lang w:val="en-US"/>
        </w:rPr>
        <w:t xml:space="preserve">
</w:t>
      </w:r>
    </w:p>
    <w:p>
      <w:pPr>
        <w:pageBreakBefore w:val="false"/>
        <w:spacing w:before="322" w:after="292" w:line="32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a person commits the crime of VEHICULAR ASSAULT IN THE SECOND DEGREE when he or she</w:t>
      </w:r>
      <w:r>
        <w:rPr>
          <w:rFonts w:ascii="Arial" w:hAnsi="Arial" w:eastAsia="Arial"/>
          <w:color w:val="000000"/>
          <w:spacing w:val="-4"/>
          <w:w w:val="100"/>
          <w:sz w:val="28"/>
          <w:vertAlign w:val="superscript"/>
          <w:lang w:val="en-US"/>
        </w:rPr>
        <w:t xml:space="preserve">7</w:t>
      </w:r>
      <w:r>
        <w:rPr>
          <w:rFonts w:ascii="Arial" w:hAnsi="Arial" w:eastAsia="Arial"/>
          <w:color w:val="000000"/>
          <w:spacing w:val="-4"/>
          <w:w w:val="100"/>
          <w:sz w:val="28"/>
          <w:vertAlign w:val="baseline"/>
          <w:lang w:val="en-US"/>
        </w:rPr>
        <w:t xml:space="preserve"> operates a motor vehicle</w:t>
      </w:r>
      <w:r>
        <w:rPr>
          <w:rFonts w:ascii="Arial" w:hAnsi="Arial" w:eastAsia="Arial"/>
          <w:color w:val="000000"/>
          <w:spacing w:val="-4"/>
          <w:w w:val="100"/>
          <w:sz w:val="28"/>
          <w:vertAlign w:val="superscript"/>
          <w:lang w:val="en-US"/>
        </w:rPr>
        <w:t xml:space="preserve">8</w:t>
      </w:r>
      <w:r>
        <w:rPr>
          <w:rFonts w:ascii="Arial" w:hAnsi="Arial" w:eastAsia="Arial"/>
          <w:color w:val="000000"/>
          <w:spacing w:val="-4"/>
          <w:w w:val="100"/>
          <w:sz w:val="17"/>
          <w:vertAlign w:val="baseline"/>
          <w:lang w:val="en-US"/>
        </w:rPr>
        <w:t xml:space="preserve">
</w:t>
      </w:r>
    </w:p>
    <w:p>
      <w:pPr>
        <w:pageBreakBefore w:val="false"/>
        <w:spacing w:before="249" w:after="0" w:line="289" w:lineRule="exact"/>
        <w:ind w:right="0" w:left="0" w:firstLine="720"/>
        <w:jc w:val="both"/>
        <w:textAlignment w:val="baseline"/>
        <w:rPr>
          <w:rFonts w:ascii="Arial" w:hAnsi="Arial" w:eastAsia="Arial"/>
          <w:color w:val="000000"/>
          <w:spacing w:val="0"/>
          <w:w w:val="100"/>
          <w:sz w:val="16"/>
          <w:vertAlign w:val="superscript"/>
          <w:lang w:val="en-US"/>
        </w:rPr>
      </w:pPr>
      <w:r>
        <w:pict>
          <v:line strokeweight="1.2pt" strokecolor="#000000" from="107.65pt,346.3pt" to="252.05pt,346.3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5</w:t>
      </w:r>
      <w:r>
        <w:rPr>
          <w:rFonts w:ascii="Arial" w:hAnsi="Arial" w:eastAsia="Arial"/>
          <w:color w:val="000000"/>
          <w:spacing w:val="0"/>
          <w:w w:val="100"/>
          <w:sz w:val="24"/>
          <w:vertAlign w:val="baseline"/>
          <w:lang w:val="en-US"/>
        </w:rPr>
        <w:t xml:space="preserve"> The term “public highway,” used twice in the definition of “reckless driving,” is separately defined to include “[a]ny highway, road, street, avenue, alley, public place, public driveway or any other public way.” Vehicle and Traffic Law § 134. Instead of separately defining that term, the most common types of “public highway” (road, street, or avenue) have been incorporated directly into the definition of “reckless driving.” Of course, if one of the omitted types of “public highway” is in issue, that type of “public highway” should be added.</w:t>
      </w:r>
    </w:p>
    <w:p>
      <w:pPr>
        <w:pageBreakBefore w:val="false"/>
        <w:spacing w:before="221" w:after="0" w:line="289"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6</w:t>
      </w:r>
      <w:r>
        <w:rPr>
          <w:rFonts w:ascii="Arial" w:hAnsi="Arial" w:eastAsia="Arial"/>
          <w:i w:val="true"/>
          <w:color w:val="000000"/>
          <w:spacing w:val="0"/>
          <w:w w:val="100"/>
          <w:sz w:val="24"/>
          <w:vertAlign w:val="baseline"/>
          <w:lang w:val="en-US"/>
        </w:rPr>
        <w:t xml:space="preserve"> People v Goldblatt</w:t>
      </w:r>
      <w:r>
        <w:rPr>
          <w:rFonts w:ascii="Arial" w:hAnsi="Arial" w:eastAsia="Arial"/>
          <w:color w:val="000000"/>
          <w:spacing w:val="0"/>
          <w:w w:val="100"/>
          <w:sz w:val="24"/>
          <w:vertAlign w:val="baseline"/>
          <w:lang w:val="en-US"/>
        </w:rPr>
        <w:t xml:space="preserve">, 98 AD3d 817 (3d Dept 2012).</w:t>
      </w:r>
    </w:p>
    <w:p>
      <w:pPr>
        <w:pageBreakBefore w:val="false"/>
        <w:spacing w:before="238" w:after="0" w:line="289"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7</w:t>
      </w:r>
      <w:r>
        <w:rPr>
          <w:rFonts w:ascii="Arial" w:hAnsi="Arial" w:eastAsia="Arial"/>
          <w:color w:val="000000"/>
          <w:spacing w:val="0"/>
          <w:w w:val="100"/>
          <w:sz w:val="24"/>
          <w:vertAlign w:val="baseline"/>
          <w:lang w:val="en-US"/>
        </w:rPr>
        <w:t xml:space="preserve"> At this point the statute states "causes serious physical injury to another...." That portion is omitted here because that language is repeated at the end of the statute where it makes more sense. Thus, to avoid redundancy and for clarity, this charge utilizes the reference to serious physical injury at the end of the statute.</w:t>
      </w:r>
    </w:p>
    <w:p>
      <w:pPr>
        <w:pageBreakBefore w:val="false"/>
        <w:spacing w:before="227" w:after="0" w:line="289" w:lineRule="exact"/>
        <w:ind w:right="0" w:left="0" w:firstLine="720"/>
        <w:jc w:val="both"/>
        <w:textAlignment w:val="baseline"/>
        <w:rPr>
          <w:rFonts w:ascii="Arial" w:hAnsi="Arial" w:eastAsia="Arial"/>
          <w:color w:val="000000"/>
          <w:spacing w:val="-2"/>
          <w:w w:val="100"/>
          <w:sz w:val="16"/>
          <w:vertAlign w:val="superscript"/>
          <w:lang w:val="en-US"/>
        </w:rPr>
      </w:pPr>
      <w:r>
        <w:rPr>
          <w:rFonts w:ascii="Arial" w:hAnsi="Arial" w:eastAsia="Arial"/>
          <w:color w:val="000000"/>
          <w:spacing w:val="-2"/>
          <w:w w:val="100"/>
          <w:sz w:val="16"/>
          <w:vertAlign w:val="superscript"/>
          <w:lang w:val="en-US"/>
        </w:rPr>
        <w:t xml:space="preserve">8</w:t>
      </w:r>
      <w:r>
        <w:rPr>
          <w:rFonts w:ascii="Arial" w:hAnsi="Arial" w:eastAsia="Arial"/>
          <w:color w:val="000000"/>
          <w:spacing w:val="-2"/>
          <w:w w:val="100"/>
          <w:sz w:val="24"/>
          <w:vertAlign w:val="baseline"/>
          <w:lang w:val="en-US"/>
        </w:rPr>
        <w:t xml:space="preserve"> At this point, the statute states: “in violation of subdivision two, three, four or four-a of section eleven hundred ninety-two of the vehicle and traffic law or operates a vessel or public vessel in violation of paragraph (b), (c), (d) or (e) of subdivision two of section forty-nine-a of the navigation law.” In lieu of that language, this charge inserts the applicable provisions of the Vehicle and Traffic Law. If a vessel or public vessel is charged, this charge may be modified by substituting the provisions of Navigation Law § 49-a for Vehicle and Traffic Law 1192.</w:t>
      </w:r>
    </w:p>
    <w:p>
      <w:pPr>
        <w:pageBreakBefore w:val="false"/>
        <w:spacing w:before="240"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764" w:top="1400" w:right="2147" w:left="2153" w:header="720" w:footer="720"/>
          <w:titlePg w:val="false"/>
          <w:textDirection w:val="lrTb"/>
        </w:sectPr>
      </w:pPr>
    </w:p>
    <w:p>
      <w:pPr>
        <w:pageBreakBefore w:val="false"/>
        <w:spacing w:before="15" w:after="0" w:line="319"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1" w:after="0" w:line="324" w:lineRule="exact"/>
        <w:ind w:right="0" w:left="72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while he or she has .08 of one per centum or more by weight of alcohol in his or her blood as shown by chemical</w:t>
      </w:r>
    </w:p>
    <w:p>
      <w:pPr>
        <w:pageBreakBefore w:val="false"/>
        <w:spacing w:before="0" w:after="0" w:line="324"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analysis of his or her blood, breath, urine or saliva.</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316" w:after="0" w:line="324" w:lineRule="exact"/>
        <w:ind w:right="0" w:left="72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while he or she is in an intoxicated condition.</w:t>
      </w:r>
      <w:r>
        <w:rPr>
          <w:rFonts w:ascii="Arial" w:hAnsi="Arial" w:eastAsia="Arial"/>
          <w:color w:val="000000"/>
          <w:spacing w:val="-1"/>
          <w:w w:val="100"/>
          <w:sz w:val="28"/>
          <w:vertAlign w:val="superscript"/>
          <w:lang w:val="en-US"/>
        </w:rPr>
        <w:t xml:space="preserve">10</w:t>
      </w:r>
      <w:r>
        <w:rPr>
          <w:rFonts w:ascii="Arial" w:hAnsi="Arial" w:eastAsia="Arial"/>
          <w:color w:val="000000"/>
          <w:spacing w:val="-1"/>
          <w:w w:val="100"/>
          <w:sz w:val="17"/>
          <w:vertAlign w:val="baseline"/>
          <w:lang w:val="en-US"/>
        </w:rPr>
        <w:t xml:space="preserve">
</w:t>
      </w:r>
    </w:p>
    <w:p>
      <w:pPr>
        <w:pageBreakBefore w:val="false"/>
        <w:spacing w:before="361" w:after="0" w:line="307"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a vehicle is impaired by the use of a drug.</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17"/>
          <w:vertAlign w:val="baseline"/>
          <w:lang w:val="en-US"/>
        </w:rPr>
        <w:t xml:space="preserve">
</w:t>
      </w:r>
    </w:p>
    <w:p>
      <w:pPr>
        <w:pageBreakBefore w:val="false"/>
        <w:spacing w:before="324"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motor vehicle is impaired by the combined influence of drugs or of alcohol and any drug or drugs.</w:t>
      </w:r>
      <w:r>
        <w:rPr>
          <w:rFonts w:ascii="Arial" w:hAnsi="Arial" w:eastAsia="Arial"/>
          <w:color w:val="000000"/>
          <w:spacing w:val="0"/>
          <w:w w:val="100"/>
          <w:sz w:val="28"/>
          <w:vertAlign w:val="superscript"/>
          <w:lang w:val="en-US"/>
        </w:rPr>
        <w:t xml:space="preserve">12</w:t>
      </w:r>
      <w:r>
        <w:rPr>
          <w:rFonts w:ascii="Arial" w:hAnsi="Arial" w:eastAsia="Arial"/>
          <w:color w:val="000000"/>
          <w:spacing w:val="0"/>
          <w:w w:val="100"/>
          <w:sz w:val="17"/>
          <w:vertAlign w:val="baseline"/>
          <w:lang w:val="en-US"/>
        </w:rPr>
        <w:t xml:space="preserve">
</w:t>
      </w:r>
    </w:p>
    <w:p>
      <w:pPr>
        <w:pageBreakBefore w:val="false"/>
        <w:spacing w:before="332"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as a result of such intoxication [or impairment by the use of a drug, or impairment by the combined influence of drugs or of alcohol and any drug or drugs], operates such motor vehicle in a manner that causes serious physical injury to another person.</w:t>
      </w:r>
    </w:p>
    <w:p>
      <w:pPr>
        <w:pageBreakBefore w:val="false"/>
        <w:spacing w:before="318" w:after="0" w:line="324" w:lineRule="exact"/>
        <w:ind w:right="0"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 term DRUG includes (</w:t>
      </w:r>
      <w:r>
        <w:rPr>
          <w:rFonts w:ascii="Arial" w:hAnsi="Arial" w:eastAsia="Arial"/>
          <w:i w:val="true"/>
          <w:color w:val="000000"/>
          <w:spacing w:val="-2"/>
          <w:w w:val="100"/>
          <w:sz w:val="28"/>
          <w:u w:val="single"/>
          <w:vertAlign w:val="baseline"/>
          <w:lang w:val="en-US"/>
        </w:rPr>
        <w:t xml:space="preserve">specify</w:t>
      </w:r>
      <w:r>
        <w:rPr>
          <w:rFonts w:ascii="Arial" w:hAnsi="Arial" w:eastAsia="Arial"/>
          <w:color w:val="000000"/>
          <w:spacing w:val="-2"/>
          <w:w w:val="100"/>
          <w:sz w:val="28"/>
          <w:vertAlign w:val="superscript"/>
          <w:lang w:val="en-US"/>
        </w:rPr>
        <w:t xml:space="preserve"> 13</w:t>
      </w:r>
      <w:r>
        <w:rPr>
          <w:rFonts w:ascii="Arial" w:hAnsi="Arial" w:eastAsia="Arial"/>
          <w:color w:val="000000"/>
          <w:spacing w:val="-2"/>
          <w:w w:val="100"/>
          <w:sz w:val="28"/>
          <w:vertAlign w:val="baseline"/>
          <w:lang w:val="en-US"/>
        </w:rPr>
        <w:t xml:space="preserve">).]</w:t>
      </w:r>
    </w:p>
    <w:p>
      <w:pPr>
        <w:pageBreakBefore w:val="false"/>
        <w:spacing w:before="319" w:after="941"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Pr>
          <w:rFonts w:ascii="Arial" w:hAnsi="Arial" w:eastAsia="Arial"/>
          <w:color w:val="000000"/>
          <w:spacing w:val="0"/>
          <w:w w:val="100"/>
          <w:sz w:val="28"/>
          <w:vertAlign w:val="superscript"/>
          <w:lang w:val="en-US"/>
        </w:rPr>
        <w:t xml:space="preserve">14</w:t>
      </w:r>
      <w:r>
        <w:rPr>
          <w:rFonts w:ascii="Arial" w:hAnsi="Arial" w:eastAsia="Arial"/>
          <w:color w:val="000000"/>
          <w:spacing w:val="0"/>
          <w:w w:val="100"/>
          <w:sz w:val="17"/>
          <w:vertAlign w:val="baseline"/>
          <w:lang w:val="en-US"/>
        </w:rPr>
        <w:t xml:space="preserve">
</w:t>
      </w:r>
    </w:p>
    <w:p>
      <w:pPr>
        <w:pageBreakBefore w:val="false"/>
        <w:spacing w:before="258" w:after="0" w:line="278" w:lineRule="exact"/>
        <w:ind w:right="0" w:left="720" w:firstLine="0"/>
        <w:jc w:val="left"/>
        <w:textAlignment w:val="baseline"/>
        <w:rPr>
          <w:rFonts w:ascii="Arial" w:hAnsi="Arial" w:eastAsia="Arial"/>
          <w:color w:val="000000"/>
          <w:spacing w:val="0"/>
          <w:w w:val="100"/>
          <w:sz w:val="16"/>
          <w:vertAlign w:val="superscript"/>
          <w:lang w:val="en-US"/>
        </w:rPr>
      </w:pPr>
      <w:r>
        <w:pict>
          <v:line strokeweight="1.2pt" strokecolor="#000000" from="108pt,555.1pt" to="252.05pt,555.1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9</w:t>
      </w:r>
      <w:r>
        <w:rPr>
          <w:rFonts w:ascii="Arial" w:hAnsi="Arial" w:eastAsia="Arial"/>
          <w:color w:val="000000"/>
          <w:spacing w:val="0"/>
          <w:w w:val="100"/>
          <w:sz w:val="24"/>
          <w:vertAlign w:val="baseline"/>
          <w:lang w:val="en-US"/>
        </w:rPr>
        <w:t xml:space="preserve"> Vehicle &amp; Traffic Law § 1192 (2).</w:t>
      </w:r>
    </w:p>
    <w:p>
      <w:pPr>
        <w:pageBreakBefore w:val="false"/>
        <w:spacing w:before="234" w:after="0" w:line="276"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10</w:t>
      </w:r>
      <w:r>
        <w:rPr>
          <w:rFonts w:ascii="Arial" w:hAnsi="Arial" w:eastAsia="Arial"/>
          <w:color w:val="000000"/>
          <w:spacing w:val="0"/>
          <w:w w:val="100"/>
          <w:sz w:val="24"/>
          <w:vertAlign w:val="baseline"/>
          <w:lang w:val="en-US"/>
        </w:rPr>
        <w:t xml:space="preserve"> Vehicle &amp; Traffic Law § 1192 (3).</w:t>
      </w:r>
    </w:p>
    <w:p>
      <w:pPr>
        <w:pageBreakBefore w:val="false"/>
        <w:spacing w:before="242" w:after="0" w:line="276"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11</w:t>
      </w:r>
      <w:r>
        <w:rPr>
          <w:rFonts w:ascii="Arial" w:hAnsi="Arial" w:eastAsia="Arial"/>
          <w:color w:val="000000"/>
          <w:spacing w:val="0"/>
          <w:w w:val="100"/>
          <w:sz w:val="24"/>
          <w:vertAlign w:val="baseline"/>
          <w:lang w:val="en-US"/>
        </w:rPr>
        <w:t xml:space="preserve"> Vehicle &amp; Traffic Law § 1192 (4).</w:t>
      </w:r>
    </w:p>
    <w:p>
      <w:pPr>
        <w:pageBreakBefore w:val="false"/>
        <w:spacing w:before="240" w:after="0" w:line="278"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12</w:t>
      </w:r>
      <w:r>
        <w:rPr>
          <w:rFonts w:ascii="Arial" w:hAnsi="Arial" w:eastAsia="Arial"/>
          <w:color w:val="000000"/>
          <w:spacing w:val="0"/>
          <w:w w:val="100"/>
          <w:sz w:val="24"/>
          <w:vertAlign w:val="baseline"/>
          <w:lang w:val="en-US"/>
        </w:rPr>
        <w:t xml:space="preserve"> Vehicle &amp; Traffic Law § 1192 (4-a).</w:t>
      </w:r>
    </w:p>
    <w:p>
      <w:pPr>
        <w:pageBreakBefore w:val="false"/>
        <w:spacing w:before="240" w:after="0" w:line="277"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13</w:t>
      </w:r>
      <w:r>
        <w:rPr>
          <w:rFonts w:ascii="Arial" w:hAnsi="Arial" w:eastAsia="Arial"/>
          <w:color w:val="000000"/>
          <w:spacing w:val="0"/>
          <w:w w:val="100"/>
          <w:sz w:val="24"/>
          <w:vertAlign w:val="baseline"/>
          <w:lang w:val="en-US"/>
        </w:rPr>
        <w:t xml:space="preserve"> Vehicle &amp; Traffic Law §114-a and Public Health Law § 3306.</w:t>
      </w:r>
    </w:p>
    <w:p>
      <w:pPr>
        <w:pageBreakBefore w:val="false"/>
        <w:spacing w:before="236" w:after="0" w:line="279"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14</w:t>
      </w:r>
      <w:r>
        <w:rPr>
          <w:rFonts w:ascii="Arial" w:hAnsi="Arial" w:eastAsia="Arial"/>
          <w:color w:val="000000"/>
          <w:spacing w:val="0"/>
          <w:w w:val="100"/>
          <w:sz w:val="24"/>
          <w:vertAlign w:val="baseline"/>
          <w:lang w:val="en-US"/>
        </w:rPr>
        <w:t xml:space="preserve"> Penal Law § 10.00 (10).</w:t>
      </w:r>
    </w:p>
    <w:p>
      <w:pPr>
        <w:pageBreakBefore w:val="false"/>
        <w:spacing w:before="243"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764" w:top="1400" w:right="2140" w:left="2160" w:header="720" w:footer="720"/>
          <w:titlePg w:val="false"/>
          <w:textDirection w:val="lrTb"/>
        </w:sectPr>
      </w:pPr>
    </w:p>
    <w:p>
      <w:pPr>
        <w:pageBreakBefore w:val="false"/>
        <w:spacing w:before="16" w:after="0" w:line="321" w:lineRule="exact"/>
        <w:ind w:right="720" w:left="72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w:t>
      </w:r>
      <w:r>
        <w:rPr>
          <w:rFonts w:ascii="Arial" w:hAnsi="Arial" w:eastAsia="Arial"/>
          <w:b w:val="true"/>
          <w:i w:val="true"/>
          <w:color w:val="000000"/>
          <w:spacing w:val="0"/>
          <w:w w:val="100"/>
          <w:sz w:val="28"/>
          <w:vertAlign w:val="baseline"/>
          <w:lang w:val="en-US"/>
        </w:rPr>
        <w:t xml:space="preserve">Note</w:t>
      </w:r>
      <w:r>
        <w:rPr>
          <w:rFonts w:ascii="Arial" w:hAnsi="Arial" w:eastAsia="Arial"/>
          <w:i w:val="true"/>
          <w:color w:val="000000"/>
          <w:spacing w:val="0"/>
          <w:w w:val="100"/>
          <w:sz w:val="28"/>
          <w:vertAlign w:val="baseline"/>
          <w:lang w:val="en-US"/>
        </w:rPr>
        <w:t xml:space="preserve">: if a separate instruction to the jury was given for the applicable VTL 1192 offense incorporate it here by reference; otherwise select applicable portions and insert here.]</w:t>
      </w:r>
    </w:p>
    <w:p>
      <w:pPr>
        <w:pageBreakBefore w:val="false"/>
        <w:spacing w:before="313"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if the People prove beyond a reasonable doubt that the defendant was operating a motor vehicle while unlawfully intoxicated or impaired by the use of alcohol [or impaired by the use of a drug, or impaired by the combined influence of drugs or of alcohol and any drug or drugs], and while doing so caused serious physical injury to another person, then you may, but are not required to, infer that, as a result of such intoxication or impairment, such person operated the motor vehicle in a manner that caused such serious physical injury to another person.</w:t>
      </w:r>
      <w:r>
        <w:rPr>
          <w:rFonts w:ascii="Arial" w:hAnsi="Arial" w:eastAsia="Arial"/>
          <w:color w:val="000000"/>
          <w:spacing w:val="0"/>
          <w:w w:val="100"/>
          <w:sz w:val="28"/>
          <w:vertAlign w:val="superscript"/>
          <w:lang w:val="en-US"/>
        </w:rPr>
        <w:t xml:space="preserve">15</w:t>
      </w:r>
      <w:r>
        <w:rPr>
          <w:rFonts w:ascii="Arial" w:hAnsi="Arial" w:eastAsia="Arial"/>
          <w:color w:val="000000"/>
          <w:spacing w:val="0"/>
          <w:w w:val="100"/>
          <w:sz w:val="17"/>
          <w:vertAlign w:val="baseline"/>
          <w:lang w:val="en-US"/>
        </w:rPr>
        <w:t xml:space="preserve">
</w:t>
      </w:r>
    </w:p>
    <w:p>
      <w:pPr>
        <w:pageBreakBefore w:val="false"/>
        <w:spacing w:before="332"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four elements:</w:t>
      </w:r>
    </w:p>
    <w:p>
      <w:pPr>
        <w:pageBreakBefore w:val="false"/>
        <w:numPr>
          <w:ilvl w:val="0"/>
          <w:numId w:val="1"/>
        </w:numPr>
        <w:tabs>
          <w:tab w:val="clear" w:pos="360"/>
          <w:tab w:val="left" w:pos="1080"/>
        </w:tabs>
        <w:spacing w:before="324"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engaged in reckless driving of a motor vehicle; and</w:t>
      </w:r>
    </w:p>
    <w:p>
      <w:pPr>
        <w:pageBreakBefore w:val="false"/>
        <w:numPr>
          <w:ilvl w:val="0"/>
          <w:numId w:val="1"/>
        </w:numPr>
        <w:tabs>
          <w:tab w:val="clear" w:pos="360"/>
          <w:tab w:val="left" w:pos="1080"/>
        </w:tabs>
        <w:spacing w:before="324" w:after="0" w:line="324" w:lineRule="exact"/>
        <w:ind w:right="0" w:left="72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the defendant did so:</w:t>
      </w:r>
    </w:p>
    <w:p>
      <w:pPr>
        <w:pageBreakBefore w:val="false"/>
        <w:spacing w:before="331" w:after="0" w:line="321" w:lineRule="exact"/>
        <w:ind w:right="0" w:left="144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18" w:after="0"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 had .08 of one per centum or more by weight of alcohol in his/her blood as shown by chemical analysis of his/her blood, breath, urine or saliva.</w:t>
      </w:r>
    </w:p>
    <w:p>
      <w:pPr>
        <w:pageBreakBefore w:val="false"/>
        <w:spacing w:before="2" w:after="423"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 was in an intoxicated condition.</w:t>
      </w:r>
    </w:p>
    <w:p>
      <w:pPr>
        <w:pageBreakBefore w:val="false"/>
        <w:spacing w:before="263" w:after="0" w:line="291" w:lineRule="exact"/>
        <w:ind w:right="0" w:left="0" w:firstLine="720"/>
        <w:jc w:val="both"/>
        <w:textAlignment w:val="baseline"/>
        <w:rPr>
          <w:rFonts w:ascii="Arial" w:hAnsi="Arial" w:eastAsia="Arial"/>
          <w:color w:val="000000"/>
          <w:spacing w:val="0"/>
          <w:w w:val="100"/>
          <w:sz w:val="16"/>
          <w:vertAlign w:val="superscript"/>
          <w:lang w:val="en-US"/>
        </w:rPr>
      </w:pPr>
      <w:r>
        <w:pict>
          <v:line strokeweight="1.2pt" strokecolor="#000000" from="107.75pt,610.55pt" to="252.05pt,610.55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15</w:t>
      </w:r>
      <w:r>
        <w:rPr>
          <w:rFonts w:ascii="Arial" w:hAnsi="Arial" w:eastAsia="Arial"/>
          <w:color w:val="000000"/>
          <w:spacing w:val="0"/>
          <w:w w:val="100"/>
          <w:sz w:val="24"/>
          <w:vertAlign w:val="baseline"/>
          <w:lang w:val="en-US"/>
        </w:rPr>
        <w:t xml:space="preserve"> The Legislative Memorandum in support of this statute states that “the addition of the rebuttable presumption provision would create a causal link between a driver who causes serious physical injury or death and a presumption that it was his or her intoxication or impairment that was the cause of such serious physical injury or death.” </w:t>
      </w:r>
      <w:r>
        <w:rPr>
          <w:rFonts w:ascii="Arial" w:hAnsi="Arial" w:eastAsia="Arial"/>
          <w:i w:val="true"/>
          <w:color w:val="000000"/>
          <w:spacing w:val="0"/>
          <w:w w:val="100"/>
          <w:sz w:val="24"/>
          <w:vertAlign w:val="baseline"/>
          <w:lang w:val="en-US"/>
        </w:rPr>
        <w:t xml:space="preserve">See People v Mojica</w:t>
      </w:r>
      <w:r>
        <w:rPr>
          <w:rFonts w:ascii="Arial" w:hAnsi="Arial" w:eastAsia="Arial"/>
          <w:color w:val="000000"/>
          <w:spacing w:val="0"/>
          <w:w w:val="100"/>
          <w:sz w:val="24"/>
          <w:vertAlign w:val="baseline"/>
          <w:lang w:val="en-US"/>
        </w:rPr>
        <w:t xml:space="preserve">, 62 AD3d 100 (2d Dept 2009), lv denied 12 NY3d 856 (2009).</w:t>
      </w:r>
    </w:p>
    <w:p>
      <w:pPr>
        <w:pageBreakBefore w:val="false"/>
        <w:spacing w:before="239"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p>
      <w:pPr>
        <w:sectPr>
          <w:type w:val="nextPage"/>
          <w:pgSz w:w="12240" w:h="15840" w:orient="portrait"/>
          <w:pgMar w:bottom="764" w:top="1080" w:right="2145" w:left="2155" w:header="720" w:footer="720"/>
          <w:titlePg w:val="false"/>
          <w:textDirection w:val="lrTb"/>
        </w:sectPr>
      </w:pPr>
    </w:p>
    <w:p>
      <w:pPr>
        <w:pageBreakBefore w:val="false"/>
        <w:spacing w:before="8" w:after="0" w:line="326"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defendant's ability to operate such vehicle was impaired by the use of a drug.</w:t>
      </w:r>
    </w:p>
    <w:p>
      <w:pPr>
        <w:pageBreakBefore w:val="false"/>
        <w:spacing w:before="324" w:after="0"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motor vehicle is impaired by the combined influence of drugs or of alcohol and any drug or drugs; [and]</w:t>
      </w:r>
    </w:p>
    <w:p>
      <w:pPr>
        <w:pageBreakBefore w:val="false"/>
        <w:numPr>
          <w:ilvl w:val="0"/>
          <w:numId w:val="2"/>
        </w:numPr>
        <w:tabs>
          <w:tab w:val="clear" w:pos="288"/>
          <w:tab w:val="left" w:pos="1008"/>
        </w:tabs>
        <w:spacing w:before="320" w:after="0" w:line="325" w:lineRule="exact"/>
        <w:ind w:right="0" w:left="72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That as a result of such intoxication [or impairment by the use of a drug, or impairment by the combined influence of drugs or of alcohol and any drug or drugs], the defendant operated such motor vehicle in a manner that caused serious physical injury to (</w:t>
      </w:r>
      <w:r>
        <w:rPr>
          <w:rFonts w:ascii="Arial" w:hAnsi="Arial" w:eastAsia="Arial"/>
          <w:i w:val="true"/>
          <w:color w:val="000000"/>
          <w:spacing w:val="-3"/>
          <w:w w:val="100"/>
          <w:sz w:val="28"/>
          <w:u w:val="single"/>
          <w:vertAlign w:val="baseline"/>
          <w:lang w:val="en-US"/>
        </w:rPr>
        <w:t xml:space="preserve">specify</w:t>
      </w:r>
      <w:r>
        <w:rPr>
          <w:rFonts w:ascii="Arial" w:hAnsi="Arial" w:eastAsia="Arial"/>
          <w:color w:val="000000"/>
          <w:spacing w:val="-3"/>
          <w:w w:val="100"/>
          <w:sz w:val="28"/>
          <w:vertAlign w:val="baseline"/>
          <w:lang w:val="en-US"/>
        </w:rPr>
        <w:t xml:space="preserve">); and</w:t>
      </w:r>
    </w:p>
    <w:p>
      <w:pPr>
        <w:pageBreakBefore w:val="false"/>
        <w:numPr>
          <w:ilvl w:val="0"/>
          <w:numId w:val="2"/>
        </w:numPr>
        <w:tabs>
          <w:tab w:val="clear" w:pos="288"/>
          <w:tab w:val="left" w:pos="1008"/>
        </w:tabs>
        <w:spacing w:before="315" w:after="0" w:line="327" w:lineRule="exact"/>
        <w:ind w:right="72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was fifteen years of age or less and was a passenger in such motor vehicle.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6027"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6027" w:line="324" w:lineRule="exact"/>
        <w:sectPr>
          <w:type w:val="nextPage"/>
          <w:pgSz w:w="12240" w:h="15840" w:orient="portrait"/>
          <w:pgMar w:bottom="304" w:top="1400" w:right="2140" w:left="2160"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5</w:t>
      </w:r>
    </w:p>
    <w:sectPr>
      <w:type w:val="continuous"/>
      <w:pgSz w:w="12240" w:h="15840" w:orient="portrait"/>
      <w:pgMar w:bottom="304" w:top="140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Arial" w:hAnsi="Arial" w:eastAsia="Arial"/>
        <w:color w:val="000000"/>
        <w:spacing w:val="0"/>
        <w:w w:val="100"/>
        <w:sz w:val="28"/>
        <w:vertAlign w:val="baseline"/>
        <w:lang w:val="en-US"/>
      </w:rPr>
    </w:lvl>
  </w:abstractNum>
  <w:abstractNum w:abstractNumId="2">
    <w:lvl w:ilvl="0">
      <w:start w:val="3"/>
      <w:numFmt w:val="decimal"/>
      <w:lvlText w:val="%1."/>
      <w:pPr>
        <w:tabs>
          <w:tab w:val="left" w:pos="288"/>
        </w:tabs>
      </w:pPr>
      <w:rPr>
        <w:rFonts w:ascii="Arial" w:hAnsi="Arial" w:eastAsia="Arial"/>
        <w:color w:val="000000"/>
        <w:spacing w:val="-3"/>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