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319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6"/>
          <w:vertAlign w:val="baseline"/>
          <w:lang w:val="en-US"/>
        </w:rPr>
        <w:t xml:space="preserve">INTOXICATION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6"/>
          <w:vertAlign w:val="baseline"/>
          <w:lang w:val="en-US"/>
        </w:rPr>
        <w:t xml:space="preserve">Penal Law 15.25</w:t>
      </w:r>
    </w:p>
    <w:p>
      <w:pPr>
        <w:pageBreakBefore w:val="false"/>
        <w:spacing w:before="332" w:after="0" w:line="267" w:lineRule="exact"/>
        <w:ind w:right="720" w:left="720" w:firstLine="0"/>
        <w:jc w:val="both"/>
        <w:textAlignment w:val="baseline"/>
        <w:rPr>
          <w:rFonts w:ascii="Arial" w:hAnsi="Arial" w:eastAsia="Arial"/>
          <w:i w:val="true"/>
          <w:strike w:val="false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6"/>
          <w:vertAlign w:val="baseline"/>
          <w:lang w:val="en-US"/>
        </w:rPr>
        <w:t xml:space="preserve">If the Court finds that there is sufficient evidence to permit a reasonable person to entertain a reasonable doubt as to the requisite mental state , the Court</w:t>
      </w:r>
    </w:p>
    <w:p>
      <w:pPr>
        <w:pageBreakBefore w:val="false"/>
        <w:spacing w:before="0" w:after="0" w:line="103" w:lineRule="exact"/>
        <w:ind w:right="0" w:left="56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n-US"/>
        </w:rPr>
        <w:t xml:space="preserve">1</w:t>
      </w:r>
    </w:p>
    <w:p>
      <w:pPr>
        <w:pageBreakBefore w:val="false"/>
        <w:spacing w:before="60" w:after="0" w:line="321" w:lineRule="exact"/>
        <w:ind w:right="720" w:left="720" w:firstLine="0"/>
        <w:jc w:val="both"/>
        <w:textAlignment w:val="baseline"/>
        <w:rPr>
          <w:rFonts w:ascii="Arial" w:hAnsi="Arial" w:eastAsia="Arial"/>
          <w:i w:val="true"/>
          <w:strike w:val="false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6"/>
          <w:vertAlign w:val="baseline"/>
          <w:lang w:val="en-US"/>
        </w:rPr>
        <w:t xml:space="preserve">should include the following charge in its definition of that mental state in the definition of the crime(s) to which the charge applies.</w:t>
      </w:r>
    </w:p>
    <w:p>
      <w:pPr>
        <w:pageBreakBefore w:val="false"/>
        <w:spacing w:before="330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6"/>
          <w:vertAlign w:val="baseline"/>
          <w:lang w:val="en-US"/>
        </w:rPr>
        <w:t xml:space="preserve">Under our law, intoxication is not, as such, a defense to a criminal charge. But evidence of the defendant’s intoxication may be considered whenever it is relevant to negative an element of the crime charged.</w:t>
      </w:r>
    </w:p>
    <w:p>
      <w:pPr>
        <w:pageBreakBefore w:val="false"/>
        <w:spacing w:before="383" w:after="444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6"/>
          <w:vertAlign w:val="baseline"/>
          <w:lang w:val="en-US"/>
        </w:rPr>
        <w:t xml:space="preserve">Thus, in determining whether the defendant had the </w:t>
      </w:r>
      <w:r>
        <w:rPr>
          <w:rFonts w:ascii="Arial" w:hAnsi="Arial" w:eastAsia="Arial"/>
          <w:strike w:val="false"/>
          <w:color w:val="000000"/>
          <w:spacing w:val="3"/>
          <w:w w:val="100"/>
          <w:sz w:val="27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3"/>
          <w:w w:val="100"/>
          <w:sz w:val="26"/>
          <w:u w:val="single"/>
          <w:vertAlign w:val="baseline"/>
          <w:lang w:val="en-US"/>
        </w:rPr>
        <w:t xml:space="preserve">specify,  e.g. intent and/or knowledge</w:t>
      </w:r>
      <w:r>
        <w:rPr>
          <w:rFonts w:ascii="Arial" w:hAnsi="Arial" w:eastAsia="Arial"/>
          <w:strike w:val="false"/>
          <w:color w:val="000000"/>
          <w:spacing w:val="3"/>
          <w:w w:val="100"/>
          <w:sz w:val="27"/>
          <w:u w:val="single"/>
          <w:vertAlign w:val="baseline"/>
          <w:lang w:val="en-US"/>
        </w:rPr>
        <w:t xml:space="preserve">),</w:t>
      </w:r>
      <w:r>
        <w:rPr>
          <w:rFonts w:ascii="Arial" w:hAnsi="Arial" w:eastAsia="Arial"/>
          <w:strike w:val="false"/>
          <w:color w:val="000000"/>
          <w:spacing w:val="3"/>
          <w:w w:val="100"/>
          <w:sz w:val="26"/>
          <w:vertAlign w:val="baseline"/>
          <w:lang w:val="en-US"/>
        </w:rPr>
        <w:t xml:space="preserve"> necessary to commit a crime you may consider whether the defendant’s mind was affected by intoxicants to such a degree that he/she was incapable of forming the </w:t>
      </w:r>
      <w:r>
        <w:rPr>
          <w:rFonts w:ascii="Arial" w:hAnsi="Arial" w:eastAsia="Arial"/>
          <w:strike w:val="false"/>
          <w:color w:val="000000"/>
          <w:spacing w:val="3"/>
          <w:w w:val="100"/>
          <w:sz w:val="27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3"/>
          <w:w w:val="100"/>
          <w:sz w:val="26"/>
          <w:u w:val="single"/>
          <w:vertAlign w:val="baseline"/>
          <w:lang w:val="en-US"/>
        </w:rPr>
        <w:t xml:space="preserve">specify, e.g. intent and/or knowledge</w:t>
      </w:r>
      <w:r>
        <w:rPr>
          <w:rFonts w:ascii="Arial" w:hAnsi="Arial" w:eastAsia="Arial"/>
          <w:strike w:val="false"/>
          <w:color w:val="000000"/>
          <w:spacing w:val="3"/>
          <w:w w:val="100"/>
          <w:sz w:val="27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3"/>
          <w:w w:val="100"/>
          <w:sz w:val="26"/>
          <w:vertAlign w:val="baseline"/>
          <w:lang w:val="en-US"/>
        </w:rPr>
        <w:t xml:space="preserve"> necessary for the commission of that crime.</w:t>
      </w:r>
      <w:r>
        <w:rPr>
          <w:rFonts w:ascii="Arial" w:hAnsi="Arial" w:eastAsia="Arial"/>
          <w:strike w:val="false"/>
          <w:color w:val="000000"/>
          <w:spacing w:val="3"/>
          <w:w w:val="100"/>
          <w:sz w:val="26"/>
          <w:vertAlign w:val="superscript"/>
          <w:lang w:val="en-US"/>
        </w:rPr>
        <w:t xml:space="preserve">2</w:t>
      </w: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n-US"/>
        </w:rPr>
        <w:t xml:space="preserve">
</w:t>
      </w:r>
    </w:p>
    <w:p>
      <w:pPr>
        <w:spacing w:before="383" w:after="4440" w:line="326" w:lineRule="exact"/>
        <w:sectPr>
          <w:type w:val="nextPage"/>
          <w:pgSz w:w="12240" w:h="15840" w:orient="portrait"/>
          <w:pgMar w:bottom="1024" w:top="1460" w:right="2145" w:left="2155" w:header="720" w:footer="720"/>
          <w:titlePg w:val="false"/>
          <w:textDirection w:val="lrTb"/>
        </w:sectPr>
      </w:pPr>
    </w:p>
    <w:p>
      <w:pPr>
        <w:pageBreakBefore w:val="false"/>
        <w:spacing w:before="259" w:after="0" w:line="283" w:lineRule="exact"/>
        <w:ind w:right="0" w:left="0" w:firstLine="72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4"/>
          <w:vertAlign w:val="baseline"/>
          <w:lang w:val="en-US"/>
        </w:rPr>
      </w:pPr>
      <w:r>
        <w:pict>
          <v:line strokeweight="0.7pt" strokecolor="#000000" from="107.75pt,639.1pt" to="252.05pt,639.1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4"/>
          <w:vertAlign w:val="baseline"/>
          <w:lang w:val="en-US"/>
        </w:rPr>
        <w:t xml:space="preserve">1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See People v. Gaines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, 83 NY2d 925,927 (1994);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People v. Rodriguez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, 76 NY2d 918,920-921 (1990);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People v. Perry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, 61 NY2d 849,850 (1984).</w:t>
      </w:r>
    </w:p>
    <w:p>
      <w:pPr>
        <w:pageBreakBefore w:val="false"/>
        <w:spacing w:before="234" w:after="0" w:line="283" w:lineRule="exact"/>
        <w:ind w:right="0" w:left="0" w:firstLine="72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4"/>
          <w:vertAlign w:val="baseline"/>
          <w:lang w:val="en-US"/>
        </w:rPr>
        <w:t xml:space="preserve">2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See People v. Koerber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, 244 NY 147 (1926).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See also People v. Cronin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, 60 N.Y.2d 430 (1983).</w:t>
      </w:r>
    </w:p>
    <w:sectPr>
      <w:type w:val="continuous"/>
      <w:pgSz w:w="12240" w:h="15840" w:orient="portrait"/>
      <w:pgMar w:bottom="1024" w:top="1460" w:right="2145" w:left="215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