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88976" w14:textId="77777777" w:rsidR="00B235A1" w:rsidRPr="00E27495" w:rsidRDefault="00B235A1">
      <w:pPr>
        <w:tabs>
          <w:tab w:val="center" w:pos="3960"/>
        </w:tabs>
        <w:spacing w:line="480" w:lineRule="auto"/>
        <w:rPr>
          <w:rFonts w:ascii="Arial" w:eastAsia="Yu Gothic UI" w:hAnsi="Arial" w:cs="Arial"/>
          <w:sz w:val="28"/>
          <w:szCs w:val="28"/>
        </w:rPr>
      </w:pPr>
      <w:r w:rsidRPr="00E27495">
        <w:rPr>
          <w:rFonts w:ascii="Arial" w:eastAsia="Yu Gothic UI" w:hAnsi="Arial" w:cs="Arial"/>
          <w:b/>
          <w:bCs/>
          <w:sz w:val="28"/>
          <w:szCs w:val="28"/>
        </w:rPr>
        <w:tab/>
        <w:t>Witness Pre-trial Preparation</w:t>
      </w:r>
      <w:r w:rsidRPr="00E27495">
        <w:rPr>
          <w:rStyle w:val="FootnoteReference"/>
          <w:rFonts w:ascii="Arial" w:eastAsia="Yu Gothic UI" w:hAnsi="Arial" w:cs="Arial"/>
          <w:sz w:val="28"/>
          <w:szCs w:val="28"/>
          <w:vertAlign w:val="superscript"/>
        </w:rPr>
        <w:endnoteReference w:id="1"/>
      </w:r>
    </w:p>
    <w:p w14:paraId="1EDE4D1C" w14:textId="4CC8C13A" w:rsidR="00B235A1" w:rsidRPr="00E27495" w:rsidRDefault="00B235A1">
      <w:pPr>
        <w:spacing w:line="287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 w:rsidRPr="00E27495">
        <w:rPr>
          <w:rFonts w:ascii="Arial" w:eastAsia="Yu Gothic UI" w:hAnsi="Arial" w:cs="Arial"/>
          <w:sz w:val="28"/>
          <w:szCs w:val="28"/>
        </w:rPr>
        <w:t xml:space="preserve">You have heard testimony </w:t>
      </w:r>
      <w:r w:rsidR="00E27495" w:rsidRPr="00E27495">
        <w:rPr>
          <w:rFonts w:ascii="Arial" w:eastAsia="Yu Gothic UI" w:hAnsi="Arial" w:cs="Arial"/>
          <w:sz w:val="28"/>
          <w:szCs w:val="28"/>
        </w:rPr>
        <w:t>about (</w:t>
      </w:r>
      <w:r w:rsidRPr="00E27495">
        <w:rPr>
          <w:rFonts w:ascii="Arial" w:eastAsia="Yu Gothic UI" w:hAnsi="Arial" w:cs="Arial"/>
          <w:i/>
          <w:iCs/>
          <w:sz w:val="28"/>
          <w:szCs w:val="28"/>
          <w:u w:val="single"/>
        </w:rPr>
        <w:t>specify: the prosecutor, defense lawyer, and/or investigator</w:t>
      </w:r>
      <w:r w:rsidRPr="00E27495">
        <w:rPr>
          <w:rFonts w:ascii="Arial" w:eastAsia="Yu Gothic UI" w:hAnsi="Arial" w:cs="Arial"/>
          <w:sz w:val="28"/>
          <w:szCs w:val="28"/>
        </w:rPr>
        <w:t>) speaking to a witness about the case before the witness testified at this trial.  The law permits a (</w:t>
      </w:r>
      <w:r w:rsidRPr="00E27495">
        <w:rPr>
          <w:rFonts w:ascii="Arial" w:eastAsia="Yu Gothic UI" w:hAnsi="Arial" w:cs="Arial"/>
          <w:i/>
          <w:iCs/>
          <w:sz w:val="28"/>
          <w:szCs w:val="28"/>
          <w:u w:val="single"/>
        </w:rPr>
        <w:t>specify</w:t>
      </w:r>
      <w:r w:rsidRPr="00E27495">
        <w:rPr>
          <w:rFonts w:ascii="Arial" w:eastAsia="Yu Gothic UI" w:hAnsi="Arial" w:cs="Arial"/>
          <w:sz w:val="28"/>
          <w:szCs w:val="28"/>
        </w:rPr>
        <w:t>) to speak to a witness about the case before the witness testifies, and permits a (</w:t>
      </w:r>
      <w:r w:rsidRPr="00E27495">
        <w:rPr>
          <w:rFonts w:ascii="Arial" w:eastAsia="Yu Gothic UI" w:hAnsi="Arial" w:cs="Arial"/>
          <w:i/>
          <w:iCs/>
          <w:sz w:val="28"/>
          <w:szCs w:val="28"/>
          <w:u w:val="single"/>
        </w:rPr>
        <w:t>specify</w:t>
      </w:r>
      <w:r w:rsidRPr="00E27495">
        <w:rPr>
          <w:rFonts w:ascii="Arial" w:eastAsia="Yu Gothic UI" w:hAnsi="Arial" w:cs="Arial"/>
          <w:sz w:val="28"/>
          <w:szCs w:val="28"/>
        </w:rPr>
        <w:t>) to review with the witness the questions that will or may be asked at trial, including the questions that may be asked on cross-examination.</w:t>
      </w:r>
      <w:r w:rsidRPr="00E27495">
        <w:rPr>
          <w:rStyle w:val="FootnoteReference"/>
          <w:rFonts w:ascii="Arial" w:eastAsia="Yu Gothic UI" w:hAnsi="Arial" w:cs="Arial"/>
          <w:sz w:val="28"/>
          <w:szCs w:val="28"/>
          <w:vertAlign w:val="superscript"/>
        </w:rPr>
        <w:endnoteReference w:id="2"/>
      </w:r>
      <w:r w:rsidRPr="00E27495">
        <w:rPr>
          <w:rFonts w:ascii="Arial" w:eastAsia="Yu Gothic UI" w:hAnsi="Arial" w:cs="Arial"/>
          <w:sz w:val="28"/>
          <w:szCs w:val="28"/>
        </w:rPr>
        <w:t xml:space="preserve">  </w:t>
      </w:r>
    </w:p>
    <w:p w14:paraId="5140EB76" w14:textId="77777777" w:rsidR="00B235A1" w:rsidRPr="00E27495" w:rsidRDefault="00B235A1">
      <w:pPr>
        <w:spacing w:line="287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 w:rsidRPr="00E27495">
        <w:rPr>
          <w:rFonts w:ascii="Arial" w:eastAsia="Yu Gothic UI" w:hAnsi="Arial" w:cs="Arial"/>
          <w:sz w:val="28"/>
          <w:szCs w:val="28"/>
        </w:rPr>
        <w:t>[You have also heard testimony that a witness read or reviewed certain materials pertaining to this case before the witness testified at trial.  The law permits a witness to do so.]</w:t>
      </w:r>
    </w:p>
    <w:p w14:paraId="2841A354" w14:textId="5FBFBBB5" w:rsidR="00F1685B" w:rsidRPr="00E27495" w:rsidRDefault="00B235A1">
      <w:pPr>
        <w:spacing w:line="287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 w:rsidRPr="00E27495">
        <w:rPr>
          <w:rFonts w:ascii="Arial" w:eastAsia="Yu Gothic UI" w:hAnsi="Arial" w:cs="Arial"/>
          <w:sz w:val="28"/>
          <w:szCs w:val="28"/>
        </w:rPr>
        <w:t>Speaking to a witness about his or her testimony and permitting the witness to review materials pertaining to the case before the witness testifies is a normal part of preparing for trial. It is not improper as long as it is not suggested that the witness depart from the truth.</w:t>
      </w:r>
      <w:bookmarkStart w:id="0" w:name="_GoBack"/>
      <w:bookmarkEnd w:id="0"/>
    </w:p>
    <w:p w14:paraId="0B06A684" w14:textId="77777777" w:rsidR="00B235A1" w:rsidRPr="00E27495" w:rsidRDefault="00B235A1">
      <w:pPr>
        <w:spacing w:line="287" w:lineRule="auto"/>
        <w:jc w:val="both"/>
        <w:rPr>
          <w:rFonts w:ascii="Arial" w:eastAsia="Yu Gothic UI" w:hAnsi="Arial" w:cs="Arial"/>
          <w:sz w:val="28"/>
          <w:szCs w:val="28"/>
        </w:rPr>
      </w:pPr>
    </w:p>
    <w:sectPr w:rsidR="00B235A1" w:rsidRPr="00E27495" w:rsidSect="00B235A1">
      <w:endnotePr>
        <w:numFmt w:val="decimal"/>
      </w:endnotePr>
      <w:pgSz w:w="12240" w:h="15840"/>
      <w:pgMar w:top="1080" w:right="2160" w:bottom="1080" w:left="2160" w:header="108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410E5" w14:textId="77777777" w:rsidR="00B235A1" w:rsidRDefault="00B235A1" w:rsidP="00B235A1">
      <w:r>
        <w:separator/>
      </w:r>
    </w:p>
  </w:endnote>
  <w:endnote w:type="continuationSeparator" w:id="0">
    <w:p w14:paraId="7F2F54CC" w14:textId="77777777" w:rsidR="00B235A1" w:rsidRDefault="00B235A1" w:rsidP="00B235A1">
      <w:r>
        <w:continuationSeparator/>
      </w:r>
    </w:p>
  </w:endnote>
  <w:endnote w:id="1">
    <w:p w14:paraId="3FE491EC" w14:textId="77777777" w:rsidR="00B235A1" w:rsidRPr="00E27495" w:rsidRDefault="00B235A1">
      <w:pPr>
        <w:spacing w:after="240"/>
        <w:rPr>
          <w:rFonts w:ascii="Arial" w:hAnsi="Arial" w:cs="Arial"/>
        </w:rPr>
      </w:pPr>
      <w:r w:rsidRPr="00E27495">
        <w:rPr>
          <w:rStyle w:val="FootnoteReference"/>
          <w:rFonts w:ascii="Arial" w:hAnsi="Arial" w:cs="Arial"/>
        </w:rPr>
        <w:endnoteRef/>
      </w:r>
      <w:r w:rsidRPr="00E27495">
        <w:rPr>
          <w:rFonts w:ascii="Arial" w:hAnsi="Arial" w:cs="Arial"/>
        </w:rPr>
        <w:t>.  Revised in February, 2014 and the last sentence was revised for clarity, without substantive change, in September, 2018.</w:t>
      </w:r>
    </w:p>
  </w:endnote>
  <w:endnote w:id="2">
    <w:p w14:paraId="3EBED909" w14:textId="77777777" w:rsidR="00B235A1" w:rsidRPr="00E27495" w:rsidRDefault="00B235A1">
      <w:pPr>
        <w:spacing w:after="240"/>
        <w:jc w:val="both"/>
        <w:rPr>
          <w:rFonts w:ascii="Arial" w:hAnsi="Arial" w:cs="Arial"/>
        </w:rPr>
      </w:pPr>
      <w:r w:rsidRPr="00E27495">
        <w:rPr>
          <w:rFonts w:ascii="Arial" w:eastAsia="Yu Gothic UI" w:hAnsi="Arial" w:cs="Arial"/>
        </w:rPr>
        <w:t xml:space="preserve">2. </w:t>
      </w:r>
      <w:r w:rsidRPr="00E27495">
        <w:rPr>
          <w:rFonts w:ascii="Arial" w:eastAsia="Yu Gothic UI" w:hAnsi="Arial" w:cs="Arial"/>
          <w:i/>
          <w:iCs/>
        </w:rPr>
        <w:t>See</w:t>
      </w:r>
      <w:r w:rsidRPr="00E27495">
        <w:rPr>
          <w:rFonts w:ascii="Arial" w:eastAsia="Yu Gothic UI" w:hAnsi="Arial" w:cs="Arial"/>
        </w:rPr>
        <w:t xml:space="preserve"> </w:t>
      </w:r>
      <w:r w:rsidRPr="00E27495">
        <w:rPr>
          <w:rFonts w:ascii="Arial" w:eastAsia="Yu Gothic UI" w:hAnsi="Arial" w:cs="Arial"/>
          <w:i/>
          <w:iCs/>
        </w:rPr>
        <w:t>People v Townsley</w:t>
      </w:r>
      <w:r w:rsidRPr="00E27495">
        <w:rPr>
          <w:rFonts w:ascii="Arial" w:eastAsia="Yu Gothic UI" w:hAnsi="Arial" w:cs="Arial"/>
        </w:rPr>
        <w:t>, 20 NY3d 294, 300 (2012) (</w:t>
      </w:r>
      <w:r w:rsidRPr="00E27495">
        <w:rPr>
          <w:rFonts w:ascii="Arial" w:eastAsia="Yu Gothic UI" w:hAnsi="Arial" w:cs="Arial"/>
        </w:rPr>
        <w:sym w:font="WP TypographicSymbols" w:char="0041"/>
      </w:r>
      <w:r w:rsidRPr="00E27495">
        <w:rPr>
          <w:rFonts w:ascii="Arial" w:eastAsia="Yu Gothic UI" w:hAnsi="Arial" w:cs="Arial"/>
        </w:rPr>
        <w:t>The [prosecutor</w:t>
      </w:r>
      <w:r w:rsidRPr="00E27495">
        <w:rPr>
          <w:rFonts w:ascii="Arial" w:eastAsia="Yu Gothic UI" w:hAnsi="Arial" w:cs="Arial"/>
        </w:rPr>
        <w:sym w:font="WP TypographicSymbols" w:char="003D"/>
      </w:r>
      <w:r w:rsidRPr="00E27495">
        <w:rPr>
          <w:rFonts w:ascii="Arial" w:eastAsia="Yu Gothic UI" w:hAnsi="Arial" w:cs="Arial"/>
        </w:rPr>
        <w:t>s] argument suggested to the jury that there was something improper in a lawyer</w:t>
      </w:r>
      <w:r w:rsidRPr="00E27495">
        <w:rPr>
          <w:rFonts w:ascii="Arial" w:eastAsia="Yu Gothic UI" w:hAnsi="Arial" w:cs="Arial"/>
        </w:rPr>
        <w:sym w:font="WP TypographicSymbols" w:char="003D"/>
      </w:r>
      <w:r w:rsidRPr="00E27495">
        <w:rPr>
          <w:rFonts w:ascii="Arial" w:eastAsia="Yu Gothic UI" w:hAnsi="Arial" w:cs="Arial"/>
        </w:rPr>
        <w:t>s interviewing a witness in the hope of getting favorable testimony.  That is not in the least improper.  It is what good lawyers do.</w:t>
      </w:r>
      <w:r w:rsidRPr="00E27495">
        <w:rPr>
          <w:rFonts w:ascii="Arial" w:eastAsia="Yu Gothic UI" w:hAnsi="Arial" w:cs="Arial"/>
        </w:rPr>
        <w:sym w:font="WP TypographicSymbols" w:char="0040"/>
      </w:r>
      <w:r w:rsidRPr="00E27495">
        <w:rPr>
          <w:rFonts w:ascii="Arial" w:eastAsia="Yu Gothic UI" w:hAnsi="Arial" w:cs="Arial"/>
        </w:rPr>
        <w:t xml:space="preserve">); </w:t>
      </w:r>
      <w:r w:rsidRPr="00E27495">
        <w:rPr>
          <w:rFonts w:ascii="Arial" w:eastAsia="Yu Gothic UI" w:hAnsi="Arial" w:cs="Arial"/>
          <w:i/>
          <w:iCs/>
        </w:rPr>
        <w:t>People v Liverpool</w:t>
      </w:r>
      <w:r w:rsidRPr="00E27495">
        <w:rPr>
          <w:rFonts w:ascii="Arial" w:eastAsia="Yu Gothic UI" w:hAnsi="Arial" w:cs="Arial"/>
        </w:rPr>
        <w:t>, 262 AD2d 425 (2d Dept 1999) (</w:t>
      </w:r>
      <w:r w:rsidRPr="00E27495">
        <w:rPr>
          <w:rFonts w:ascii="Arial" w:eastAsia="Yu Gothic UI" w:hAnsi="Arial" w:cs="Arial"/>
        </w:rPr>
        <w:sym w:font="WP TypographicSymbols" w:char="0041"/>
      </w:r>
      <w:r w:rsidRPr="00E27495">
        <w:rPr>
          <w:rFonts w:ascii="Arial" w:eastAsia="Yu Gothic UI" w:hAnsi="Arial" w:cs="Arial"/>
        </w:rPr>
        <w:t>[W]here the defense counsel argued in summation that the prose</w:t>
      </w:r>
      <w:r w:rsidRPr="00E27495">
        <w:rPr>
          <w:rFonts w:ascii="Arial" w:hAnsi="Arial" w:cs="Arial"/>
        </w:rPr>
        <w:t xml:space="preserve">cutor improperly coached his witnesses to </w:t>
      </w:r>
      <w:r w:rsidRPr="00E27495">
        <w:rPr>
          <w:rFonts w:ascii="Arial" w:hAnsi="Arial" w:cs="Arial"/>
        </w:rPr>
        <w:sym w:font="WP TypographicSymbols" w:char="003E"/>
      </w:r>
      <w:r w:rsidRPr="00E27495">
        <w:rPr>
          <w:rFonts w:ascii="Arial" w:hAnsi="Arial" w:cs="Arial"/>
        </w:rPr>
        <w:t>clean ... up</w:t>
      </w:r>
      <w:r w:rsidRPr="00E27495">
        <w:rPr>
          <w:rFonts w:ascii="Arial" w:hAnsi="Arial" w:cs="Arial"/>
        </w:rPr>
        <w:sym w:font="WP TypographicSymbols" w:char="003D"/>
      </w:r>
      <w:r w:rsidRPr="00E27495">
        <w:rPr>
          <w:rFonts w:ascii="Arial" w:hAnsi="Arial" w:cs="Arial"/>
        </w:rPr>
        <w:t xml:space="preserve"> problematic information in a police report, it was proper for the court to instruct the jury that there is nothing wrong with a prosecutor speaking to his or her witnesses before trial.</w:t>
      </w:r>
      <w:r w:rsidRPr="00E27495">
        <w:rPr>
          <w:rFonts w:ascii="Arial" w:hAnsi="Arial" w:cs="Arial"/>
        </w:rPr>
        <w:sym w:font="WP TypographicSymbols" w:char="0040"/>
      </w:r>
      <w:r w:rsidRPr="00E27495">
        <w:rPr>
          <w:rFonts w:ascii="Arial" w:hAnsi="Arial" w:cs="Arial"/>
        </w:rPr>
        <w:t xml:space="preserve">); </w:t>
      </w:r>
      <w:r w:rsidRPr="00E27495">
        <w:rPr>
          <w:rFonts w:ascii="Arial" w:hAnsi="Arial" w:cs="Arial"/>
          <w:i/>
          <w:iCs/>
        </w:rPr>
        <w:t>People v Fountain</w:t>
      </w:r>
      <w:r w:rsidRPr="00E27495">
        <w:rPr>
          <w:rFonts w:ascii="Arial" w:hAnsi="Arial" w:cs="Arial"/>
        </w:rPr>
        <w:t>, 170 AD2d 414, 415 (2d Dept 1991) (</w:t>
      </w:r>
      <w:r w:rsidRPr="00E27495">
        <w:rPr>
          <w:rFonts w:ascii="Arial" w:hAnsi="Arial" w:cs="Arial"/>
        </w:rPr>
        <w:sym w:font="WP TypographicSymbols" w:char="0041"/>
      </w:r>
      <w:r w:rsidRPr="00E27495">
        <w:rPr>
          <w:rFonts w:ascii="Arial" w:hAnsi="Arial" w:cs="Arial"/>
        </w:rPr>
        <w:t>This court finds no error in the trial court's charge to the jury that it is usual, and not illegal, for a prosecutor to talk to his witnesses, in light of the clear and continued suggestion by the defense through cross</w:t>
      </w:r>
      <w:r w:rsidRPr="00E27495">
        <w:rPr>
          <w:rFonts w:ascii="Arial" w:hAnsi="Arial" w:cs="Arial"/>
        </w:rPr>
        <w:noBreakHyphen/>
        <w:t xml:space="preserve">examination by defendant's counsel of the People's witnesses and summation, that the prosecutor improperly coached the People's witnesses to effect a </w:t>
      </w:r>
      <w:r w:rsidRPr="00E27495">
        <w:rPr>
          <w:rFonts w:ascii="Arial" w:hAnsi="Arial" w:cs="Arial"/>
        </w:rPr>
        <w:sym w:font="WP TypographicSymbols" w:char="003E"/>
      </w:r>
      <w:r w:rsidRPr="00E27495">
        <w:rPr>
          <w:rFonts w:ascii="Arial" w:hAnsi="Arial" w:cs="Arial"/>
        </w:rPr>
        <w:t>cover</w:t>
      </w:r>
      <w:r w:rsidRPr="00E27495">
        <w:rPr>
          <w:rFonts w:ascii="Arial" w:hAnsi="Arial" w:cs="Arial"/>
        </w:rPr>
        <w:noBreakHyphen/>
        <w:t>up</w:t>
      </w:r>
      <w:r w:rsidRPr="00E27495">
        <w:rPr>
          <w:rFonts w:ascii="Arial" w:hAnsi="Arial" w:cs="Arial"/>
        </w:rPr>
        <w:sym w:font="WP TypographicSymbols" w:char="003D"/>
      </w:r>
      <w:r w:rsidRPr="00E27495">
        <w:rPr>
          <w:rFonts w:ascii="Arial" w:hAnsi="Arial" w:cs="Arial"/>
        </w:rPr>
        <w:t xml:space="preserve"> of the mistaken arrest of defendant.</w:t>
      </w:r>
      <w:r w:rsidRPr="00E27495">
        <w:rPr>
          <w:rFonts w:ascii="Arial" w:hAnsi="Arial" w:cs="Arial"/>
        </w:rPr>
        <w:sym w:font="WP TypographicSymbols" w:char="0040"/>
      </w:r>
      <w:r w:rsidRPr="00E27495">
        <w:rPr>
          <w:rFonts w:ascii="Arial" w:hAnsi="Arial" w:cs="Arial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EADB0" w14:textId="77777777" w:rsidR="00B235A1" w:rsidRDefault="00B235A1" w:rsidP="00B235A1">
      <w:r>
        <w:separator/>
      </w:r>
    </w:p>
  </w:footnote>
  <w:footnote w:type="continuationSeparator" w:id="0">
    <w:p w14:paraId="15702CE0" w14:textId="77777777" w:rsidR="00B235A1" w:rsidRDefault="00B235A1" w:rsidP="00B2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A1"/>
    <w:rsid w:val="00B235A1"/>
    <w:rsid w:val="00E27495"/>
    <w:rsid w:val="00F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B4B3E"/>
  <w14:defaultImageDpi w14:val="0"/>
  <w15:docId w15:val="{3FA10782-BC58-4949-97F3-7BE4E5E3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778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Hon. William Donnino</dc:creator>
  <cp:keywords/>
  <dc:description/>
  <cp:lastModifiedBy>Bill Donnino</cp:lastModifiedBy>
  <cp:revision>3</cp:revision>
  <dcterms:created xsi:type="dcterms:W3CDTF">2018-09-22T02:49:00Z</dcterms:created>
  <dcterms:modified xsi:type="dcterms:W3CDTF">2020-02-01T05:37:00Z</dcterms:modified>
</cp:coreProperties>
</file>