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B9F1" w14:textId="77777777" w:rsidR="007972F6" w:rsidRDefault="007972F6">
      <w:pPr>
        <w:kinsoku w:val="0"/>
        <w:overflowPunct w:val="0"/>
        <w:autoSpaceDE/>
        <w:autoSpaceDN/>
        <w:adjustRightInd/>
        <w:spacing w:before="34" w:line="322" w:lineRule="exact"/>
        <w:jc w:val="center"/>
        <w:textAlignment w:val="baseline"/>
        <w:rPr>
          <w:rFonts w:ascii="Arial" w:hAnsi="Arial"/>
          <w:b/>
          <w:spacing w:val="-2"/>
          <w:sz w:val="17"/>
        </w:rPr>
      </w:pPr>
      <w:r>
        <w:rPr>
          <w:rFonts w:ascii="Arial" w:hAnsi="Arial"/>
          <w:b/>
          <w:spacing w:val="-2"/>
          <w:sz w:val="28"/>
        </w:rPr>
        <w:t>EVIDENCE OF OTHER CRIMES (</w:t>
      </w:r>
      <w:r>
        <w:rPr>
          <w:rFonts w:ascii="Arial" w:hAnsi="Arial"/>
          <w:b/>
          <w:i/>
          <w:spacing w:val="-2"/>
          <w:sz w:val="28"/>
        </w:rPr>
        <w:t>MOLINEUX</w:t>
      </w:r>
      <w:r>
        <w:rPr>
          <w:rFonts w:ascii="Arial" w:hAnsi="Arial"/>
          <w:b/>
          <w:spacing w:val="-2"/>
          <w:sz w:val="28"/>
        </w:rPr>
        <w:t>)</w:t>
      </w:r>
      <w:r>
        <w:rPr>
          <w:rFonts w:ascii="Arial" w:hAnsi="Arial"/>
          <w:b/>
          <w:spacing w:val="-2"/>
          <w:sz w:val="28"/>
          <w:vertAlign w:val="superscript"/>
        </w:rPr>
        <w:t>1</w:t>
      </w:r>
    </w:p>
    <w:p w14:paraId="0BF325CD" w14:textId="77777777" w:rsidR="007972F6" w:rsidRDefault="007972F6">
      <w:pPr>
        <w:kinsoku w:val="0"/>
        <w:overflowPunct w:val="0"/>
        <w:autoSpaceDE/>
        <w:autoSpaceDN/>
        <w:adjustRightInd/>
        <w:spacing w:before="316" w:line="325" w:lineRule="exact"/>
        <w:ind w:firstLine="720"/>
        <w:jc w:val="both"/>
        <w:textAlignment w:val="baseline"/>
        <w:rPr>
          <w:rFonts w:ascii="Arial" w:hAnsi="Arial"/>
          <w:spacing w:val="-3"/>
          <w:sz w:val="17"/>
        </w:rPr>
      </w:pPr>
      <w:r>
        <w:rPr>
          <w:rFonts w:ascii="Arial" w:hAnsi="Arial"/>
          <w:spacing w:val="-3"/>
          <w:sz w:val="28"/>
        </w:rPr>
        <w:t>There is evidence in the case that, on another occasion, the defendant [(engaged in criminal condu</w:t>
      </w:r>
      <w:bookmarkStart w:id="0" w:name="_GoBack"/>
      <w:bookmarkEnd w:id="0"/>
      <w:r>
        <w:rPr>
          <w:rFonts w:ascii="Arial" w:hAnsi="Arial"/>
          <w:spacing w:val="-3"/>
          <w:sz w:val="28"/>
        </w:rPr>
        <w:t>ct) (was convicted of a crime) or (</w:t>
      </w:r>
      <w:r>
        <w:rPr>
          <w:rFonts w:ascii="Arial" w:hAnsi="Arial"/>
          <w:i/>
          <w:spacing w:val="-3"/>
          <w:sz w:val="28"/>
          <w:u w:val="single"/>
        </w:rPr>
        <w:t>specify</w:t>
      </w:r>
      <w:r>
        <w:rPr>
          <w:rFonts w:ascii="Arial" w:hAnsi="Arial"/>
          <w:spacing w:val="-3"/>
          <w:sz w:val="28"/>
        </w:rPr>
        <w:t xml:space="preserve">)]. That evidence was not offered, and must not be considered, for the purpose of proving that the defendant had a propensity or predisposition to commit the crime(s) charged in this case. </w:t>
      </w:r>
      <w:r>
        <w:rPr>
          <w:rFonts w:ascii="Arial" w:hAnsi="Arial"/>
          <w:spacing w:val="-3"/>
          <w:sz w:val="28"/>
          <w:vertAlign w:val="superscript"/>
        </w:rPr>
        <w:t>2</w:t>
      </w:r>
      <w:r>
        <w:rPr>
          <w:rFonts w:ascii="Arial" w:hAnsi="Arial"/>
          <w:spacing w:val="-3"/>
          <w:sz w:val="28"/>
        </w:rPr>
        <w:t xml:space="preserve"> It was offered as evidence for your consideration on the question of (</w:t>
      </w:r>
      <w:r>
        <w:rPr>
          <w:rFonts w:ascii="Arial" w:hAnsi="Arial"/>
          <w:i/>
          <w:spacing w:val="-3"/>
          <w:sz w:val="28"/>
          <w:u w:val="single"/>
        </w:rPr>
        <w:t>specify</w:t>
      </w:r>
      <w:r>
        <w:rPr>
          <w:rFonts w:ascii="Arial" w:hAnsi="Arial"/>
          <w:spacing w:val="-3"/>
          <w:sz w:val="28"/>
        </w:rPr>
        <w:t>). If you find the evidence believable, you may consider it for that limited purpose and for none other.</w:t>
      </w:r>
      <w:r>
        <w:rPr>
          <w:rFonts w:ascii="Arial" w:hAnsi="Arial"/>
          <w:spacing w:val="-3"/>
          <w:sz w:val="17"/>
        </w:rPr>
        <w:t>3</w:t>
      </w:r>
    </w:p>
    <w:p w14:paraId="09FDD562" w14:textId="77777777" w:rsidR="007972F6" w:rsidRDefault="007972F6">
      <w:pPr>
        <w:widowControl/>
        <w:rPr>
          <w:sz w:val="24"/>
        </w:rPr>
        <w:sectPr w:rsidR="007972F6">
          <w:pgSz w:w="12240" w:h="15840"/>
          <w:pgMar w:top="1420" w:right="2155" w:bottom="10704" w:left="2165" w:header="720" w:footer="720" w:gutter="0"/>
          <w:cols w:space="720"/>
          <w:noEndnote/>
        </w:sectPr>
      </w:pPr>
    </w:p>
    <w:p w14:paraId="69EFD502" w14:textId="77777777" w:rsidR="007972F6" w:rsidRDefault="007972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2" w:line="276" w:lineRule="exact"/>
        <w:jc w:val="both"/>
        <w:textAlignment w:val="baseline"/>
        <w:rPr>
          <w:rFonts w:ascii="Arial" w:hAnsi="Arial"/>
          <w:spacing w:val="-4"/>
          <w:sz w:val="24"/>
        </w:rPr>
      </w:pPr>
      <w:r>
        <w:rPr>
          <w:rFonts w:ascii="Arial" w:hAnsi="Arial"/>
          <w:i/>
          <w:spacing w:val="-4"/>
          <w:sz w:val="24"/>
        </w:rPr>
        <w:lastRenderedPageBreak/>
        <w:t>See People v. Molineux</w:t>
      </w:r>
      <w:r>
        <w:rPr>
          <w:rFonts w:ascii="Arial" w:hAnsi="Arial"/>
          <w:spacing w:val="-4"/>
          <w:sz w:val="24"/>
        </w:rPr>
        <w:t>, 168 N.Y. 264 (1901) (</w:t>
      </w:r>
      <w:r>
        <w:rPr>
          <w:rFonts w:ascii="Arial" w:hAnsi="Arial"/>
          <w:i/>
          <w:spacing w:val="-4"/>
          <w:sz w:val="24"/>
        </w:rPr>
        <w:t xml:space="preserve">Molineux </w:t>
      </w:r>
      <w:r>
        <w:rPr>
          <w:rFonts w:ascii="Arial" w:hAnsi="Arial"/>
          <w:spacing w:val="-4"/>
          <w:sz w:val="24"/>
        </w:rPr>
        <w:t>evidence may be admitted, for example, to establish motive, opportunity, intent, preparation, common scheme or plan, identity, absence of mistake or accident).</w:t>
      </w:r>
    </w:p>
    <w:p w14:paraId="30CBA7B6" w14:textId="77777777" w:rsidR="007972F6" w:rsidRDefault="007972F6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38" w:line="278" w:lineRule="exact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See People v Mees</w:t>
      </w:r>
      <w:r>
        <w:rPr>
          <w:rFonts w:ascii="Arial" w:hAnsi="Arial"/>
          <w:sz w:val="24"/>
        </w:rPr>
        <w:t>, 47 N.Y.2d 997 (1979)</w:t>
      </w:r>
    </w:p>
    <w:p w14:paraId="0FEDBFDF" w14:textId="77777777" w:rsidR="007972F6" w:rsidRDefault="007972F6">
      <w:pPr>
        <w:kinsoku w:val="0"/>
        <w:overflowPunct w:val="0"/>
        <w:autoSpaceDE/>
        <w:autoSpaceDN/>
        <w:adjustRightInd/>
        <w:spacing w:before="245" w:line="277" w:lineRule="exact"/>
        <w:jc w:val="both"/>
        <w:textAlignment w:val="baseline"/>
        <w:rPr>
          <w:rFonts w:ascii="Arial" w:hAnsi="Arial"/>
          <w:spacing w:val="-1"/>
          <w:sz w:val="24"/>
        </w:rPr>
      </w:pPr>
      <w:r>
        <w:rPr>
          <w:rFonts w:ascii="Arial" w:hAnsi="Arial"/>
          <w:spacing w:val="-1"/>
          <w:sz w:val="24"/>
        </w:rPr>
        <w:t>3.In appropriate circumstances, it has been held permissible for a court to allow the introduction of evidence of uncharged crimes to prove, among other things, the defendant’s identity as the perpetrator of the charged crime (</w:t>
      </w:r>
      <w:r>
        <w:rPr>
          <w:rFonts w:ascii="Arial" w:hAnsi="Arial"/>
          <w:i/>
          <w:spacing w:val="-1"/>
          <w:sz w:val="24"/>
        </w:rPr>
        <w:t>see, e.g., People v. Beam</w:t>
      </w:r>
      <w:r>
        <w:rPr>
          <w:rFonts w:ascii="Arial" w:hAnsi="Arial"/>
          <w:spacing w:val="-1"/>
          <w:sz w:val="24"/>
        </w:rPr>
        <w:t xml:space="preserve">, 57 N.Y.2d 241 [1982]; </w:t>
      </w:r>
      <w:r>
        <w:rPr>
          <w:rFonts w:ascii="Arial" w:hAnsi="Arial"/>
          <w:i/>
          <w:spacing w:val="-1"/>
          <w:sz w:val="24"/>
        </w:rPr>
        <w:t>People v. Alexander</w:t>
      </w:r>
      <w:r>
        <w:rPr>
          <w:rFonts w:ascii="Arial" w:hAnsi="Arial"/>
          <w:spacing w:val="-1"/>
          <w:sz w:val="24"/>
        </w:rPr>
        <w:t xml:space="preserve">, 294 A.D.2d 118 [1st Dept. 2002]), his motive for committing it (see, e.g., People v. Mees, 47 N.Y.2d 998 [1979]; </w:t>
      </w:r>
      <w:r>
        <w:rPr>
          <w:rFonts w:ascii="Arial" w:hAnsi="Arial"/>
          <w:i/>
          <w:spacing w:val="-1"/>
          <w:sz w:val="24"/>
        </w:rPr>
        <w:t>People v. Barnum</w:t>
      </w:r>
      <w:r>
        <w:rPr>
          <w:rFonts w:ascii="Arial" w:hAnsi="Arial"/>
          <w:spacing w:val="-1"/>
          <w:sz w:val="24"/>
        </w:rPr>
        <w:t xml:space="preserve">, 169 A.D.2d 887 [3rd Dept. 1991], lv. denied 77 N.Y.2d 958), his intent while doing so (see, e.g., </w:t>
      </w:r>
      <w:r>
        <w:rPr>
          <w:rFonts w:ascii="Arial" w:hAnsi="Arial"/>
          <w:i/>
          <w:spacing w:val="-1"/>
          <w:sz w:val="24"/>
        </w:rPr>
        <w:t>People v. Bayne</w:t>
      </w:r>
      <w:r>
        <w:rPr>
          <w:rFonts w:ascii="Arial" w:hAnsi="Arial"/>
          <w:spacing w:val="-1"/>
          <w:sz w:val="24"/>
        </w:rPr>
        <w:t xml:space="preserve">, 82 N.Y.2d 673 [1993]; </w:t>
      </w:r>
      <w:r>
        <w:rPr>
          <w:rFonts w:ascii="Arial" w:hAnsi="Arial"/>
          <w:i/>
          <w:spacing w:val="-1"/>
          <w:sz w:val="24"/>
        </w:rPr>
        <w:t>People v. Scotti</w:t>
      </w:r>
      <w:r>
        <w:rPr>
          <w:rFonts w:ascii="Arial" w:hAnsi="Arial"/>
          <w:spacing w:val="-1"/>
          <w:sz w:val="24"/>
        </w:rPr>
        <w:t xml:space="preserve">, 232 A.D.2d 775 [3rd Dept. 1996], lv. denied 89 N.Y.2d 946), his guilty knowledge (see, e.g., </w:t>
      </w:r>
      <w:r>
        <w:rPr>
          <w:rFonts w:ascii="Arial" w:hAnsi="Arial"/>
          <w:i/>
          <w:spacing w:val="-1"/>
          <w:sz w:val="24"/>
        </w:rPr>
        <w:t>People v. Marrin</w:t>
      </w:r>
      <w:r>
        <w:rPr>
          <w:rFonts w:ascii="Arial" w:hAnsi="Arial"/>
          <w:spacing w:val="-1"/>
          <w:sz w:val="24"/>
        </w:rPr>
        <w:t xml:space="preserve">, 205 N.Y. 275, 281-282 [1912]; </w:t>
      </w:r>
      <w:r>
        <w:rPr>
          <w:rFonts w:ascii="Arial" w:hAnsi="Arial"/>
          <w:i/>
          <w:spacing w:val="-1"/>
          <w:sz w:val="24"/>
        </w:rPr>
        <w:t>People v. Spitaleri</w:t>
      </w:r>
      <w:r>
        <w:rPr>
          <w:rFonts w:ascii="Arial" w:hAnsi="Arial"/>
          <w:spacing w:val="-1"/>
          <w:sz w:val="24"/>
        </w:rPr>
        <w:t>, 231 A.D.2d 593 [2nd Dept. 1996], lv. denied 89 N.Y.2d 867), or that his actions were taken in concert with another (</w:t>
      </w:r>
      <w:r>
        <w:rPr>
          <w:rFonts w:ascii="Arial" w:hAnsi="Arial"/>
          <w:i/>
          <w:spacing w:val="-1"/>
          <w:sz w:val="24"/>
        </w:rPr>
        <w:t>see, e.g., People v. Carter</w:t>
      </w:r>
      <w:r>
        <w:rPr>
          <w:rFonts w:ascii="Arial" w:hAnsi="Arial"/>
          <w:spacing w:val="-1"/>
          <w:sz w:val="24"/>
        </w:rPr>
        <w:t xml:space="preserve">, 77 N.Y.2d 95, 107 [1990], cert. denied 499 U.S. 967; People v. Jackson, 39 N.Y.2d 64, 68 [1976]), or were part of a common scheme or plan </w:t>
      </w:r>
      <w:r>
        <w:rPr>
          <w:rFonts w:ascii="Arial" w:hAnsi="Arial"/>
          <w:i/>
          <w:spacing w:val="-1"/>
          <w:sz w:val="24"/>
        </w:rPr>
        <w:t>(see, e.g., People v. Duffy</w:t>
      </w:r>
      <w:r>
        <w:rPr>
          <w:rFonts w:ascii="Arial" w:hAnsi="Arial"/>
          <w:spacing w:val="-1"/>
          <w:sz w:val="24"/>
        </w:rPr>
        <w:t xml:space="preserve">, 212 N.Y. 57, 66-67 [1914]; </w:t>
      </w:r>
      <w:r>
        <w:rPr>
          <w:rFonts w:ascii="Arial" w:hAnsi="Arial"/>
          <w:i/>
          <w:spacing w:val="-1"/>
          <w:sz w:val="24"/>
        </w:rPr>
        <w:t>People v. Fiore</w:t>
      </w:r>
      <w:r>
        <w:rPr>
          <w:rFonts w:ascii="Arial" w:hAnsi="Arial"/>
          <w:spacing w:val="-1"/>
          <w:sz w:val="24"/>
        </w:rPr>
        <w:t xml:space="preserve">, 34 N.Y.2d 81 [1974]; </w:t>
      </w:r>
      <w:r>
        <w:rPr>
          <w:rFonts w:ascii="Arial" w:hAnsi="Arial"/>
          <w:i/>
          <w:spacing w:val="-1"/>
          <w:sz w:val="24"/>
        </w:rPr>
        <w:t>People v. Smith</w:t>
      </w:r>
      <w:r>
        <w:rPr>
          <w:rFonts w:ascii="Arial" w:hAnsi="Arial"/>
          <w:spacing w:val="-1"/>
          <w:sz w:val="24"/>
        </w:rPr>
        <w:t>, 283 A.D.2d 189, 190 [1st Dept. 2001], lv. denied 97 N.Y.2d 643), or were not the product of accident or mistake (</w:t>
      </w:r>
      <w:r>
        <w:rPr>
          <w:rFonts w:ascii="Arial" w:hAnsi="Arial"/>
          <w:i/>
          <w:spacing w:val="-1"/>
          <w:sz w:val="24"/>
        </w:rPr>
        <w:t>see, e.g., People v. Henson</w:t>
      </w:r>
      <w:r>
        <w:rPr>
          <w:rFonts w:ascii="Arial" w:hAnsi="Arial"/>
          <w:spacing w:val="-1"/>
          <w:sz w:val="24"/>
        </w:rPr>
        <w:t xml:space="preserve">, 33 N.Y.2d 63, 72 [1973]; </w:t>
      </w:r>
      <w:r>
        <w:rPr>
          <w:rFonts w:ascii="Arial" w:hAnsi="Arial"/>
          <w:i/>
          <w:spacing w:val="-1"/>
          <w:sz w:val="24"/>
        </w:rPr>
        <w:t>People v. Taylor</w:t>
      </w:r>
      <w:r>
        <w:rPr>
          <w:rFonts w:ascii="Arial" w:hAnsi="Arial"/>
          <w:spacing w:val="-1"/>
          <w:sz w:val="24"/>
        </w:rPr>
        <w:t>, 220 A.D.2d 705 [2nd Dept. 1995]).</w:t>
      </w:r>
    </w:p>
    <w:sectPr w:rsidR="007972F6" w:rsidSect="007972F6">
      <w:pgSz w:w="12240" w:h="15840"/>
      <w:pgMar w:top="1420" w:right="2157" w:bottom="7124" w:left="21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7D8"/>
    <w:multiLevelType w:val="singleLevel"/>
    <w:tmpl w:val="441FA33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/>
        <w:i/>
        <w:snapToGrid/>
        <w:spacing w:val="-4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2F6"/>
    <w:rsid w:val="003B5C82"/>
    <w:rsid w:val="006713EB"/>
    <w:rsid w:val="007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3C60"/>
  <w14:defaultImageDpi w14:val="0"/>
  <w15:docId w15:val="{EF2C45EC-E9BF-4AA9-8797-C600267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3</cp:revision>
  <dcterms:created xsi:type="dcterms:W3CDTF">2018-12-08T16:02:00Z</dcterms:created>
  <dcterms:modified xsi:type="dcterms:W3CDTF">2018-12-08T16:02:00Z</dcterms:modified>
</cp:coreProperties>
</file>