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AAD8C" w14:textId="693BCF0D" w:rsidR="00AF78DA" w:rsidRDefault="00A97E17" w:rsidP="00AF78DA">
      <w:pPr>
        <w:spacing w:line="276" w:lineRule="auto"/>
        <w:jc w:val="center"/>
        <w:rPr>
          <w:rFonts w:ascii="Arial" w:eastAsia="Times New Roman" w:hAnsi="Arial" w:cs="Arial"/>
          <w:b/>
          <w:bCs/>
          <w:spacing w:val="-6"/>
        </w:rPr>
      </w:pPr>
      <w:r w:rsidRPr="00027AC1">
        <w:rPr>
          <w:rFonts w:ascii="Arial" w:eastAsia="Times New Roman" w:hAnsi="Arial" w:cs="Arial"/>
          <w:b/>
          <w:bCs/>
          <w:spacing w:val="-6"/>
        </w:rPr>
        <w:t>Identification</w:t>
      </w:r>
      <w:r w:rsidR="005C6558">
        <w:rPr>
          <w:rFonts w:ascii="Arial" w:eastAsia="Times New Roman" w:hAnsi="Arial" w:cs="Arial"/>
          <w:b/>
          <w:bCs/>
          <w:spacing w:val="-6"/>
        </w:rPr>
        <w:t xml:space="preserve"> </w:t>
      </w:r>
      <w:r w:rsidR="00D43080">
        <w:rPr>
          <w:rFonts w:ascii="Arial" w:eastAsia="Times New Roman" w:hAnsi="Arial" w:cs="Arial"/>
          <w:b/>
          <w:bCs/>
          <w:spacing w:val="-6"/>
        </w:rPr>
        <w:t>v</w:t>
      </w:r>
      <w:r w:rsidR="005C6558">
        <w:rPr>
          <w:rFonts w:ascii="Arial" w:eastAsia="Times New Roman" w:hAnsi="Arial" w:cs="Arial"/>
          <w:b/>
          <w:bCs/>
          <w:spacing w:val="-6"/>
        </w:rPr>
        <w:t xml:space="preserve">ia </w:t>
      </w:r>
      <w:r w:rsidR="00D7629E">
        <w:rPr>
          <w:rFonts w:ascii="Arial" w:eastAsia="Times New Roman" w:hAnsi="Arial" w:cs="Arial"/>
          <w:b/>
          <w:bCs/>
          <w:spacing w:val="-6"/>
        </w:rPr>
        <w:t>Video or Photo by Non-eyewitness</w:t>
      </w:r>
    </w:p>
    <w:p w14:paraId="3D12868C" w14:textId="62CF5335" w:rsidR="00B12BD4" w:rsidRPr="00B12BD4" w:rsidRDefault="00B12BD4" w:rsidP="00AF78DA">
      <w:pPr>
        <w:spacing w:line="276" w:lineRule="auto"/>
        <w:jc w:val="center"/>
        <w:rPr>
          <w:rFonts w:ascii="Arial" w:eastAsia="Times New Roman" w:hAnsi="Arial" w:cs="Arial"/>
          <w:spacing w:val="-6"/>
          <w:sz w:val="20"/>
          <w:szCs w:val="20"/>
        </w:rPr>
      </w:pPr>
      <w:r w:rsidRPr="00B12BD4">
        <w:rPr>
          <w:rFonts w:ascii="Arial" w:eastAsia="Times New Roman" w:hAnsi="Arial" w:cs="Arial"/>
          <w:spacing w:val="-6"/>
          <w:sz w:val="20"/>
          <w:szCs w:val="20"/>
        </w:rPr>
        <w:t>(Published May 2024)</w:t>
      </w:r>
    </w:p>
    <w:p w14:paraId="2CD4F52E" w14:textId="77777777" w:rsidR="006F2765" w:rsidRPr="00027AC1" w:rsidRDefault="006F2765" w:rsidP="00AF78DA">
      <w:pPr>
        <w:spacing w:line="276" w:lineRule="auto"/>
        <w:jc w:val="center"/>
        <w:rPr>
          <w:rFonts w:ascii="Arial" w:eastAsia="Times New Roman" w:hAnsi="Arial" w:cs="Arial"/>
          <w:b/>
          <w:bCs/>
          <w:spacing w:val="-6"/>
        </w:rPr>
      </w:pPr>
    </w:p>
    <w:p w14:paraId="49E6B604" w14:textId="624E6352" w:rsidR="000B5035" w:rsidRDefault="000B5035" w:rsidP="00D71C45">
      <w:pPr>
        <w:spacing w:line="276" w:lineRule="auto"/>
        <w:ind w:left="720" w:right="720"/>
        <w:rPr>
          <w:rFonts w:ascii="Arial" w:eastAsia="Arial" w:hAnsi="Arial" w:cs="Arial"/>
          <w:i/>
          <w:iCs/>
          <w:spacing w:val="-3"/>
        </w:rPr>
      </w:pPr>
      <w:r w:rsidRPr="00027AC1">
        <w:rPr>
          <w:rFonts w:ascii="Arial" w:eastAsia="Times New Roman" w:hAnsi="Arial" w:cs="Arial"/>
          <w:i/>
          <w:iCs/>
          <w:spacing w:val="-6"/>
        </w:rPr>
        <w:tab/>
        <w:t xml:space="preserve">Note: </w:t>
      </w:r>
      <w:r w:rsidR="003E1ACE" w:rsidRPr="00027AC1">
        <w:rPr>
          <w:rFonts w:ascii="Arial" w:eastAsia="Times New Roman" w:hAnsi="Arial" w:cs="Arial"/>
          <w:i/>
          <w:iCs/>
          <w:spacing w:val="-6"/>
        </w:rPr>
        <w:t>When an identification of a defendant is made from a photograph or video by a lay witness who was not an eyewitness to the crime, the Court of Appeals in</w:t>
      </w:r>
      <w:r w:rsidRPr="00027AC1">
        <w:rPr>
          <w:rFonts w:ascii="Arial" w:eastAsia="Times New Roman" w:hAnsi="Arial" w:cs="Arial"/>
          <w:i/>
          <w:iCs/>
          <w:spacing w:val="-6"/>
        </w:rPr>
        <w:t xml:space="preserve"> </w:t>
      </w:r>
      <w:r w:rsidRPr="00027AC1">
        <w:rPr>
          <w:rFonts w:ascii="Arial" w:eastAsia="Arial" w:hAnsi="Arial" w:cs="Arial"/>
          <w:i/>
          <w:iCs/>
          <w:spacing w:val="-3"/>
        </w:rPr>
        <w:t>People v Mosley, 2024 NY Slip Op 02125</w:t>
      </w:r>
      <w:r w:rsidR="00AF78DA" w:rsidRPr="00027AC1">
        <w:rPr>
          <w:rFonts w:ascii="Arial" w:eastAsia="Arial" w:hAnsi="Arial" w:cs="Arial"/>
          <w:i/>
          <w:iCs/>
          <w:spacing w:val="-3"/>
        </w:rPr>
        <w:t>,</w:t>
      </w:r>
      <w:r w:rsidR="003E1ACE" w:rsidRPr="00027AC1">
        <w:rPr>
          <w:rFonts w:ascii="Arial" w:eastAsia="Arial" w:hAnsi="Arial" w:cs="Arial"/>
          <w:i/>
          <w:iCs/>
          <w:spacing w:val="-3"/>
        </w:rPr>
        <w:t xml:space="preserve"> recommended as a “best practice” </w:t>
      </w:r>
      <w:r w:rsidR="00AF78DA" w:rsidRPr="00027AC1">
        <w:rPr>
          <w:rFonts w:ascii="Arial" w:eastAsia="Arial" w:hAnsi="Arial" w:cs="Arial"/>
          <w:i/>
          <w:iCs/>
          <w:spacing w:val="-3"/>
        </w:rPr>
        <w:t xml:space="preserve">that </w:t>
      </w:r>
      <w:r w:rsidR="00DD12D6" w:rsidRPr="00027AC1">
        <w:rPr>
          <w:rFonts w:ascii="Arial" w:eastAsia="Arial" w:hAnsi="Arial" w:cs="Arial"/>
          <w:i/>
          <w:iCs/>
          <w:spacing w:val="-3"/>
        </w:rPr>
        <w:t>a</w:t>
      </w:r>
      <w:r w:rsidR="003E1ACE" w:rsidRPr="00027AC1">
        <w:rPr>
          <w:rFonts w:ascii="Arial" w:eastAsia="Arial" w:hAnsi="Arial" w:cs="Arial"/>
          <w:i/>
          <w:iCs/>
          <w:spacing w:val="-3"/>
        </w:rPr>
        <w:t xml:space="preserve"> cautionary instruction be given “both at the time of the testimony and during the final charge</w:t>
      </w:r>
      <w:r w:rsidR="00B97422" w:rsidRPr="00027AC1">
        <w:rPr>
          <w:rFonts w:ascii="Arial" w:eastAsia="Arial" w:hAnsi="Arial" w:cs="Arial"/>
          <w:i/>
          <w:iCs/>
          <w:spacing w:val="-3"/>
        </w:rPr>
        <w:t>.</w:t>
      </w:r>
      <w:r w:rsidR="003E1ACE" w:rsidRPr="00027AC1">
        <w:rPr>
          <w:rFonts w:ascii="Arial" w:eastAsia="Arial" w:hAnsi="Arial" w:cs="Arial"/>
          <w:i/>
          <w:iCs/>
          <w:spacing w:val="-3"/>
        </w:rPr>
        <w:t>”</w:t>
      </w:r>
      <w:r w:rsidR="006562B5">
        <w:rPr>
          <w:rFonts w:ascii="Arial" w:eastAsia="Arial" w:hAnsi="Arial" w:cs="Arial"/>
          <w:i/>
          <w:iCs/>
          <w:spacing w:val="-3"/>
        </w:rPr>
        <w:t xml:space="preserve"> </w:t>
      </w:r>
      <w:r w:rsidR="000E410A">
        <w:rPr>
          <w:rFonts w:ascii="Arial" w:eastAsia="Arial" w:hAnsi="Arial" w:cs="Arial"/>
          <w:i/>
          <w:iCs/>
          <w:spacing w:val="-3"/>
        </w:rPr>
        <w:t xml:space="preserve">See Guide to NY Evidence rule </w:t>
      </w:r>
      <w:r w:rsidR="00657D9F">
        <w:rPr>
          <w:rFonts w:ascii="Arial" w:eastAsia="Arial" w:hAnsi="Arial" w:cs="Arial"/>
          <w:i/>
          <w:iCs/>
          <w:spacing w:val="-3"/>
        </w:rPr>
        <w:t>4.35.3.</w:t>
      </w:r>
    </w:p>
    <w:p w14:paraId="0AB2F17D" w14:textId="77777777" w:rsidR="00285A19" w:rsidRDefault="00285A19" w:rsidP="007A593C">
      <w:pPr>
        <w:spacing w:line="276" w:lineRule="auto"/>
        <w:jc w:val="center"/>
        <w:rPr>
          <w:rFonts w:ascii="Arial" w:hAnsi="Arial" w:cs="Arial"/>
          <w:b/>
          <w:bCs/>
          <w:spacing w:val="-3"/>
        </w:rPr>
      </w:pPr>
    </w:p>
    <w:p w14:paraId="7304EF6B" w14:textId="1DDEE2E3" w:rsidR="007A593C" w:rsidRDefault="007A593C" w:rsidP="007A593C">
      <w:pPr>
        <w:spacing w:line="276" w:lineRule="auto"/>
        <w:jc w:val="center"/>
        <w:rPr>
          <w:rFonts w:ascii="Arial" w:hAnsi="Arial" w:cs="Arial"/>
          <w:b/>
          <w:bCs/>
          <w:spacing w:val="-3"/>
        </w:rPr>
      </w:pPr>
      <w:r w:rsidRPr="00027AC1">
        <w:rPr>
          <w:rFonts w:ascii="Arial" w:hAnsi="Arial" w:cs="Arial"/>
          <w:b/>
          <w:bCs/>
          <w:spacing w:val="-3"/>
        </w:rPr>
        <w:t xml:space="preserve">Cautionary </w:t>
      </w:r>
      <w:r w:rsidRPr="008355F9">
        <w:rPr>
          <w:rFonts w:ascii="Arial" w:hAnsi="Arial" w:cs="Arial"/>
          <w:b/>
          <w:bCs/>
          <w:spacing w:val="-3"/>
        </w:rPr>
        <w:t>Instruction at the Time of the Testimony.</w:t>
      </w:r>
    </w:p>
    <w:p w14:paraId="1F61C5D2" w14:textId="5B959F59" w:rsidR="007A593C" w:rsidRPr="00027AC1" w:rsidRDefault="007A593C" w:rsidP="007A593C">
      <w:pPr>
        <w:spacing w:line="276" w:lineRule="auto"/>
        <w:rPr>
          <w:rFonts w:ascii="Arial" w:hAnsi="Arial" w:cs="Arial"/>
          <w:spacing w:val="-3"/>
        </w:rPr>
      </w:pPr>
      <w:r w:rsidRPr="00027AC1">
        <w:rPr>
          <w:rFonts w:ascii="Arial" w:hAnsi="Arial" w:cs="Arial"/>
          <w:spacing w:val="-3"/>
        </w:rPr>
        <w:t>           Members of Jury, the witness’s identification of the defendant in the (</w:t>
      </w:r>
      <w:r w:rsidRPr="00027AC1">
        <w:rPr>
          <w:rFonts w:ascii="Arial" w:hAnsi="Arial" w:cs="Arial"/>
          <w:i/>
          <w:iCs/>
          <w:spacing w:val="-3"/>
          <w:u w:val="single"/>
        </w:rPr>
        <w:t>specify: e.g. video / photo</w:t>
      </w:r>
      <w:r w:rsidR="00D71C45">
        <w:rPr>
          <w:rFonts w:ascii="Arial" w:hAnsi="Arial" w:cs="Arial"/>
          <w:i/>
          <w:iCs/>
          <w:spacing w:val="-3"/>
          <w:u w:val="single"/>
        </w:rPr>
        <w:t>graph</w:t>
      </w:r>
      <w:r w:rsidRPr="00027AC1">
        <w:rPr>
          <w:rFonts w:ascii="Arial" w:hAnsi="Arial" w:cs="Arial"/>
          <w:i/>
          <w:iCs/>
          <w:spacing w:val="-3"/>
          <w:u w:val="single"/>
        </w:rPr>
        <w:t>)</w:t>
      </w:r>
      <w:r w:rsidRPr="00027AC1">
        <w:rPr>
          <w:rFonts w:ascii="Arial" w:hAnsi="Arial" w:cs="Arial"/>
          <w:spacing w:val="-3"/>
        </w:rPr>
        <w:t xml:space="preserve"> is the opinion of that witness and you may choose to accept or reject that opinion.  Remember,  you are the finders of fact and it is your opinion as to whether the defendant is depicted in the (</w:t>
      </w:r>
      <w:r w:rsidRPr="00027AC1">
        <w:rPr>
          <w:rFonts w:ascii="Arial" w:hAnsi="Arial" w:cs="Arial"/>
          <w:i/>
          <w:iCs/>
          <w:spacing w:val="-3"/>
          <w:u w:val="single"/>
        </w:rPr>
        <w:t>specify: e.g. video / photo</w:t>
      </w:r>
      <w:r w:rsidR="00D71C45">
        <w:rPr>
          <w:rFonts w:ascii="Arial" w:hAnsi="Arial" w:cs="Arial"/>
          <w:i/>
          <w:iCs/>
          <w:spacing w:val="-3"/>
          <w:u w:val="single"/>
        </w:rPr>
        <w:t>graph</w:t>
      </w:r>
      <w:r w:rsidRPr="00027AC1">
        <w:rPr>
          <w:rFonts w:ascii="Arial" w:hAnsi="Arial" w:cs="Arial"/>
          <w:i/>
          <w:iCs/>
          <w:spacing w:val="-3"/>
          <w:u w:val="single"/>
        </w:rPr>
        <w:t>)</w:t>
      </w:r>
      <w:r w:rsidRPr="00027AC1">
        <w:rPr>
          <w:rFonts w:ascii="Arial" w:hAnsi="Arial" w:cs="Arial"/>
          <w:spacing w:val="-3"/>
        </w:rPr>
        <w:t xml:space="preserve"> that matters.</w:t>
      </w:r>
    </w:p>
    <w:p w14:paraId="04EEDD23" w14:textId="77777777" w:rsidR="007A593C" w:rsidRPr="00027AC1" w:rsidRDefault="007A593C" w:rsidP="007A593C">
      <w:pPr>
        <w:spacing w:line="276" w:lineRule="auto"/>
        <w:rPr>
          <w:rFonts w:ascii="Arial" w:hAnsi="Arial" w:cs="Arial"/>
          <w:spacing w:val="-3"/>
        </w:rPr>
      </w:pPr>
    </w:p>
    <w:p w14:paraId="5AA64501" w14:textId="11F0BBEF" w:rsidR="007A593C" w:rsidRPr="00A53E65" w:rsidRDefault="007A593C" w:rsidP="007A593C">
      <w:pPr>
        <w:spacing w:line="276" w:lineRule="auto"/>
        <w:jc w:val="center"/>
        <w:rPr>
          <w:rFonts w:ascii="Arial" w:hAnsi="Arial" w:cs="Arial"/>
          <w:b/>
          <w:bCs/>
        </w:rPr>
      </w:pPr>
      <w:r w:rsidRPr="00A53E65">
        <w:rPr>
          <w:rFonts w:ascii="Arial" w:hAnsi="Arial" w:cs="Arial"/>
          <w:b/>
          <w:bCs/>
          <w:spacing w:val="-3"/>
        </w:rPr>
        <w:t>Inst</w:t>
      </w:r>
      <w:r w:rsidR="00D47ABA">
        <w:rPr>
          <w:rFonts w:ascii="Arial" w:hAnsi="Arial" w:cs="Arial"/>
          <w:b/>
          <w:bCs/>
          <w:spacing w:val="-3"/>
        </w:rPr>
        <w:t>ruction at the Time of</w:t>
      </w:r>
      <w:r w:rsidRPr="00A53E65">
        <w:rPr>
          <w:rFonts w:ascii="Arial" w:hAnsi="Arial" w:cs="Arial"/>
          <w:b/>
          <w:bCs/>
          <w:spacing w:val="-3"/>
        </w:rPr>
        <w:t xml:space="preserve"> the Final Instructions to the Jury</w:t>
      </w:r>
    </w:p>
    <w:p w14:paraId="37B22788" w14:textId="55E7386A" w:rsidR="007A593C" w:rsidRPr="00A53E65" w:rsidRDefault="007A593C" w:rsidP="007A593C">
      <w:pPr>
        <w:spacing w:line="276" w:lineRule="auto"/>
        <w:rPr>
          <w:rFonts w:ascii="Arial" w:hAnsi="Arial" w:cs="Arial"/>
          <w:i/>
          <w:iCs/>
          <w:spacing w:val="-3"/>
          <w:u w:val="single"/>
        </w:rPr>
      </w:pPr>
      <w:r w:rsidRPr="00A53E65">
        <w:rPr>
          <w:rFonts w:ascii="Arial" w:hAnsi="Arial" w:cs="Arial"/>
          <w:spacing w:val="-3"/>
        </w:rPr>
        <w:t>           The witness’s identification of the defendant in the (</w:t>
      </w:r>
      <w:r w:rsidRPr="00A53E65">
        <w:rPr>
          <w:rFonts w:ascii="Arial" w:hAnsi="Arial" w:cs="Arial"/>
          <w:i/>
          <w:iCs/>
          <w:spacing w:val="-3"/>
          <w:u w:val="single"/>
        </w:rPr>
        <w:t>specify: e.g., video / photo</w:t>
      </w:r>
      <w:r w:rsidR="00EF0C51">
        <w:rPr>
          <w:rFonts w:ascii="Arial" w:hAnsi="Arial" w:cs="Arial"/>
          <w:i/>
          <w:iCs/>
          <w:spacing w:val="-3"/>
          <w:u w:val="single"/>
        </w:rPr>
        <w:t>graph</w:t>
      </w:r>
      <w:r w:rsidRPr="00A53E65">
        <w:rPr>
          <w:rFonts w:ascii="Arial" w:hAnsi="Arial" w:cs="Arial"/>
          <w:i/>
          <w:iCs/>
          <w:spacing w:val="-3"/>
          <w:u w:val="single"/>
        </w:rPr>
        <w:t>)</w:t>
      </w:r>
      <w:r w:rsidRPr="00A53E65">
        <w:rPr>
          <w:rFonts w:ascii="Arial" w:hAnsi="Arial" w:cs="Arial"/>
          <w:spacing w:val="-3"/>
        </w:rPr>
        <w:t xml:space="preserve"> is the opinion of that witness and you may choose to accept or reject that opinion.  </w:t>
      </w:r>
      <w:r w:rsidRPr="00A53E65">
        <w:rPr>
          <w:rFonts w:ascii="Arial" w:hAnsi="Arial" w:cs="Arial"/>
        </w:rPr>
        <w:t>In deciding whether to accept or reject the opinion you may consider whether the witness had a sufficient familiarity with the defendant to be able to make an identification and whether the (</w:t>
      </w:r>
      <w:r w:rsidRPr="00A53E65">
        <w:rPr>
          <w:rFonts w:ascii="Arial" w:hAnsi="Arial" w:cs="Arial"/>
          <w:i/>
          <w:iCs/>
          <w:u w:val="single"/>
        </w:rPr>
        <w:t xml:space="preserve">specify: e.g., </w:t>
      </w:r>
      <w:r w:rsidR="00EF0C51">
        <w:rPr>
          <w:rFonts w:ascii="Arial" w:hAnsi="Arial" w:cs="Arial"/>
          <w:i/>
          <w:iCs/>
          <w:u w:val="single"/>
        </w:rPr>
        <w:t>video</w:t>
      </w:r>
      <w:r w:rsidR="00D71C45">
        <w:rPr>
          <w:rFonts w:ascii="Arial" w:hAnsi="Arial" w:cs="Arial"/>
          <w:i/>
          <w:iCs/>
          <w:u w:val="single"/>
        </w:rPr>
        <w:t xml:space="preserve"> </w:t>
      </w:r>
      <w:r w:rsidR="00EF0C51">
        <w:rPr>
          <w:rFonts w:ascii="Arial" w:hAnsi="Arial" w:cs="Arial"/>
          <w:i/>
          <w:iCs/>
          <w:u w:val="single"/>
        </w:rPr>
        <w:t>/</w:t>
      </w:r>
      <w:r w:rsidR="00D71C45">
        <w:rPr>
          <w:rFonts w:ascii="Arial" w:hAnsi="Arial" w:cs="Arial"/>
          <w:i/>
          <w:iCs/>
          <w:u w:val="single"/>
        </w:rPr>
        <w:t xml:space="preserve"> </w:t>
      </w:r>
      <w:r w:rsidRPr="00A53E65">
        <w:rPr>
          <w:rFonts w:ascii="Arial" w:hAnsi="Arial" w:cs="Arial"/>
          <w:i/>
          <w:iCs/>
          <w:u w:val="single"/>
        </w:rPr>
        <w:t>photograph)</w:t>
      </w:r>
      <w:r w:rsidRPr="00A53E65">
        <w:rPr>
          <w:rFonts w:ascii="Arial" w:hAnsi="Arial" w:cs="Arial"/>
        </w:rPr>
        <w:t xml:space="preserve"> presented a sufficient image that would enable an identification by a person who had sufficient familiarity with the defendant. </w:t>
      </w:r>
      <w:r w:rsidRPr="00A53E65">
        <w:rPr>
          <w:rFonts w:ascii="Arial" w:hAnsi="Arial" w:cs="Arial"/>
          <w:spacing w:val="-3"/>
        </w:rPr>
        <w:t>Remember, you are the finders of fact and it is your opinion as to whether the defendant is depicted in the (</w:t>
      </w:r>
      <w:r w:rsidRPr="00A53E65">
        <w:rPr>
          <w:rFonts w:ascii="Arial" w:hAnsi="Arial" w:cs="Arial"/>
          <w:i/>
          <w:iCs/>
          <w:spacing w:val="-3"/>
          <w:u w:val="single"/>
        </w:rPr>
        <w:t>specify: e.g., video / photo</w:t>
      </w:r>
      <w:r w:rsidR="00D71C45">
        <w:rPr>
          <w:rFonts w:ascii="Arial" w:hAnsi="Arial" w:cs="Arial"/>
          <w:i/>
          <w:iCs/>
          <w:spacing w:val="-3"/>
          <w:u w:val="single"/>
        </w:rPr>
        <w:t>graph</w:t>
      </w:r>
      <w:r w:rsidRPr="00A53E65">
        <w:rPr>
          <w:rFonts w:ascii="Arial" w:hAnsi="Arial" w:cs="Arial"/>
          <w:i/>
          <w:iCs/>
          <w:spacing w:val="-3"/>
          <w:u w:val="single"/>
        </w:rPr>
        <w:t>)</w:t>
      </w:r>
      <w:r w:rsidRPr="00A53E65">
        <w:rPr>
          <w:rFonts w:ascii="Arial" w:hAnsi="Arial" w:cs="Arial"/>
          <w:spacing w:val="-3"/>
        </w:rPr>
        <w:t xml:space="preserve"> that matters.</w:t>
      </w:r>
    </w:p>
    <w:p w14:paraId="48A36306" w14:textId="77777777" w:rsidR="007A593C" w:rsidRPr="00027AC1" w:rsidRDefault="007A593C" w:rsidP="007A593C">
      <w:pPr>
        <w:spacing w:line="276" w:lineRule="auto"/>
        <w:rPr>
          <w:rFonts w:ascii="Arial" w:hAnsi="Arial" w:cs="Arial"/>
          <w:spacing w:val="-3"/>
        </w:rPr>
      </w:pPr>
    </w:p>
    <w:p w14:paraId="3F1AB61F" w14:textId="77777777" w:rsidR="007A593C" w:rsidRPr="00027AC1" w:rsidRDefault="007A593C" w:rsidP="007A593C">
      <w:pPr>
        <w:rPr>
          <w:rFonts w:ascii="Arial" w:hAnsi="Arial" w:cs="Arial"/>
        </w:rPr>
      </w:pPr>
      <w:r w:rsidRPr="00027AC1">
        <w:rPr>
          <w:rFonts w:ascii="Arial" w:hAnsi="Arial" w:cs="Arial"/>
        </w:rPr>
        <w:t> </w:t>
      </w:r>
    </w:p>
    <w:p w14:paraId="7EC98E09" w14:textId="77777777" w:rsidR="007A593C" w:rsidRPr="00027AC1" w:rsidRDefault="007A593C" w:rsidP="007A593C">
      <w:pPr>
        <w:rPr>
          <w:rFonts w:ascii="Arial" w:hAnsi="Arial" w:cs="Arial"/>
        </w:rPr>
      </w:pPr>
    </w:p>
    <w:p w14:paraId="76806D2E" w14:textId="77777777" w:rsidR="00245B85" w:rsidRPr="00027AC1" w:rsidRDefault="00245B85">
      <w:pPr>
        <w:rPr>
          <w:rFonts w:ascii="Arial" w:eastAsia="Times New Roman" w:hAnsi="Arial" w:cs="Arial"/>
          <w:color w:val="000000"/>
          <w:spacing w:val="-6"/>
        </w:rPr>
      </w:pPr>
    </w:p>
    <w:sectPr w:rsidR="00245B85" w:rsidRPr="00027AC1" w:rsidSect="00C81398">
      <w:type w:val="continuous"/>
      <w:pgSz w:w="12240" w:h="15840" w:code="1"/>
      <w:pgMar w:top="1080" w:right="2160" w:bottom="1080" w:left="216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7B85"/>
    <w:rsid w:val="00027AC1"/>
    <w:rsid w:val="00037B85"/>
    <w:rsid w:val="00056D39"/>
    <w:rsid w:val="000B5035"/>
    <w:rsid w:val="000E410A"/>
    <w:rsid w:val="00107997"/>
    <w:rsid w:val="00191932"/>
    <w:rsid w:val="0022525A"/>
    <w:rsid w:val="00240719"/>
    <w:rsid w:val="00245B85"/>
    <w:rsid w:val="00254815"/>
    <w:rsid w:val="00255BAC"/>
    <w:rsid w:val="00265C98"/>
    <w:rsid w:val="00271926"/>
    <w:rsid w:val="00285A19"/>
    <w:rsid w:val="00287025"/>
    <w:rsid w:val="002A308A"/>
    <w:rsid w:val="002E7230"/>
    <w:rsid w:val="003035A9"/>
    <w:rsid w:val="00366F25"/>
    <w:rsid w:val="003A4F5F"/>
    <w:rsid w:val="003C29FA"/>
    <w:rsid w:val="003E1ACE"/>
    <w:rsid w:val="00432AB0"/>
    <w:rsid w:val="00570E4B"/>
    <w:rsid w:val="005A3ECC"/>
    <w:rsid w:val="005C6558"/>
    <w:rsid w:val="005F0041"/>
    <w:rsid w:val="00603C2D"/>
    <w:rsid w:val="0064449E"/>
    <w:rsid w:val="006562B5"/>
    <w:rsid w:val="00657D9F"/>
    <w:rsid w:val="006A4B24"/>
    <w:rsid w:val="006B7884"/>
    <w:rsid w:val="006C54AB"/>
    <w:rsid w:val="006D3D1C"/>
    <w:rsid w:val="006F2765"/>
    <w:rsid w:val="006F6B73"/>
    <w:rsid w:val="00724C52"/>
    <w:rsid w:val="007A593C"/>
    <w:rsid w:val="007E7481"/>
    <w:rsid w:val="008355F9"/>
    <w:rsid w:val="008417DF"/>
    <w:rsid w:val="00871324"/>
    <w:rsid w:val="008B3114"/>
    <w:rsid w:val="008F4156"/>
    <w:rsid w:val="00905FC3"/>
    <w:rsid w:val="009117E4"/>
    <w:rsid w:val="009246F0"/>
    <w:rsid w:val="009247D4"/>
    <w:rsid w:val="00963889"/>
    <w:rsid w:val="009E6219"/>
    <w:rsid w:val="009F64CD"/>
    <w:rsid w:val="00A53E65"/>
    <w:rsid w:val="00A55D92"/>
    <w:rsid w:val="00A649A0"/>
    <w:rsid w:val="00A97E17"/>
    <w:rsid w:val="00AD48FC"/>
    <w:rsid w:val="00AE19B6"/>
    <w:rsid w:val="00AF78DA"/>
    <w:rsid w:val="00B12BD4"/>
    <w:rsid w:val="00B4498C"/>
    <w:rsid w:val="00B97422"/>
    <w:rsid w:val="00BA140F"/>
    <w:rsid w:val="00C81398"/>
    <w:rsid w:val="00D43080"/>
    <w:rsid w:val="00D47ABA"/>
    <w:rsid w:val="00D61C8F"/>
    <w:rsid w:val="00D71C45"/>
    <w:rsid w:val="00D7629E"/>
    <w:rsid w:val="00DA29A5"/>
    <w:rsid w:val="00DD12D6"/>
    <w:rsid w:val="00DE5562"/>
    <w:rsid w:val="00E14619"/>
    <w:rsid w:val="00E222E7"/>
    <w:rsid w:val="00E31DAF"/>
    <w:rsid w:val="00E97CAC"/>
    <w:rsid w:val="00EF0C51"/>
    <w:rsid w:val="00F65160"/>
    <w:rsid w:val="00FE130B"/>
    <w:rsid w:val="00FE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5A0B"/>
  <w15:chartTrackingRefBased/>
  <w15:docId w15:val="{731AA948-6449-415F-8118-05CBCECB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pPr>
      <w:spacing w:after="160" w:line="259" w:lineRule="auto"/>
    </w:pPr>
  </w:style>
  <w:style w:type="paragraph" w:styleId="Heading1">
    <w:name w:val="heading 1"/>
    <w:basedOn w:val="Normal"/>
    <w:next w:val="Normal"/>
    <w:link w:val="Heading1Char"/>
    <w:uiPriority w:val="9"/>
    <w:qFormat/>
    <w:rsid w:val="00037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7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7B8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7B8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37B8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37B8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37B8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37B8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37B8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style>
  <w:style w:type="character" w:customStyle="1" w:styleId="Heading1Char">
    <w:name w:val="Heading 1 Char"/>
    <w:basedOn w:val="DefaultParagraphFont"/>
    <w:link w:val="Heading1"/>
    <w:uiPriority w:val="9"/>
    <w:rsid w:val="00037B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7B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7B8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7B8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37B8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37B8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37B8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37B8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37B8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37B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B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7B8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7B8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37B85"/>
    <w:pPr>
      <w:spacing w:before="160"/>
      <w:jc w:val="center"/>
    </w:pPr>
    <w:rPr>
      <w:i/>
      <w:iCs/>
      <w:color w:val="404040" w:themeColor="text1" w:themeTint="BF"/>
    </w:rPr>
  </w:style>
  <w:style w:type="character" w:customStyle="1" w:styleId="QuoteChar">
    <w:name w:val="Quote Char"/>
    <w:basedOn w:val="DefaultParagraphFont"/>
    <w:link w:val="Quote"/>
    <w:uiPriority w:val="29"/>
    <w:rsid w:val="00037B85"/>
    <w:rPr>
      <w:i/>
      <w:iCs/>
      <w:color w:val="404040" w:themeColor="text1" w:themeTint="BF"/>
    </w:rPr>
  </w:style>
  <w:style w:type="paragraph" w:styleId="ListParagraph">
    <w:name w:val="List Paragraph"/>
    <w:basedOn w:val="Normal"/>
    <w:uiPriority w:val="34"/>
    <w:qFormat/>
    <w:rsid w:val="00037B85"/>
    <w:pPr>
      <w:ind w:left="720"/>
      <w:contextualSpacing/>
    </w:pPr>
  </w:style>
  <w:style w:type="character" w:styleId="IntenseEmphasis">
    <w:name w:val="Intense Emphasis"/>
    <w:basedOn w:val="DefaultParagraphFont"/>
    <w:uiPriority w:val="21"/>
    <w:qFormat/>
    <w:rsid w:val="00037B85"/>
    <w:rPr>
      <w:i/>
      <w:iCs/>
      <w:color w:val="0F4761" w:themeColor="accent1" w:themeShade="BF"/>
    </w:rPr>
  </w:style>
  <w:style w:type="paragraph" w:styleId="IntenseQuote">
    <w:name w:val="Intense Quote"/>
    <w:basedOn w:val="Normal"/>
    <w:next w:val="Normal"/>
    <w:link w:val="IntenseQuoteChar"/>
    <w:uiPriority w:val="30"/>
    <w:qFormat/>
    <w:rsid w:val="00037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7B85"/>
    <w:rPr>
      <w:i/>
      <w:iCs/>
      <w:color w:val="0F4761" w:themeColor="accent1" w:themeShade="BF"/>
    </w:rPr>
  </w:style>
  <w:style w:type="character" w:styleId="IntenseReference">
    <w:name w:val="Intense Reference"/>
    <w:basedOn w:val="DefaultParagraphFont"/>
    <w:uiPriority w:val="32"/>
    <w:qFormat/>
    <w:rsid w:val="00037B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1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37</cp:revision>
  <dcterms:created xsi:type="dcterms:W3CDTF">2024-04-24T17:49:00Z</dcterms:created>
  <dcterms:modified xsi:type="dcterms:W3CDTF">2024-05-08T16:00:00Z</dcterms:modified>
</cp:coreProperties>
</file>