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47" w:after="511" w:line="29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8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8"/>
          <w:w w:val="100"/>
          <w:sz w:val="26"/>
          <w:vertAlign w:val="baseline"/>
          <w:lang w:val="en-US"/>
        </w:rPr>
        <w:t xml:space="preserve">CORROBORATION IN A SEX OFFENSE CASE</w:t>
      </w:r>
      <w:r>
        <w:rPr>
          <w:rFonts w:ascii="Arial" w:hAnsi="Arial" w:eastAsia="Arial"/>
          <w:strike w:val="false"/>
          <w:color w:val="000000"/>
          <w:spacing w:val="8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8"/>
          <w:w w:val="100"/>
          <w:sz w:val="16"/>
          <w:vertAlign w:val="baseline"/>
          <w:lang w:val="en-US"/>
        </w:rPr>
        <w:t xml:space="preserve">
</w:t>
      </w:r>
    </w:p>
    <w:p>
      <w:pPr>
        <w:spacing w:before="47" w:after="511" w:line="297" w:lineRule="exact"/>
        <w:sectPr>
          <w:type w:val="nextPage"/>
          <w:pgSz w:w="12240" w:h="15840" w:orient="portrait"/>
          <w:pgMar w:bottom="1004" w:top="142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7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As to count(s)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the People contend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was incapable of consent solely because of a mental defect [or mental incapacity].</w:t>
      </w:r>
    </w:p>
    <w:p>
      <w:pPr>
        <w:pageBreakBefore w:val="false"/>
        <w:spacing w:before="412" w:after="0" w:line="40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Under our law, the defendant may not be convicted of that/those count(s) solely on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specify’s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testimony unsupported by other evidence.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416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Therefore, before you may convict the defendant of count(s)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you must find that the testimony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was truthful and accurate and was supported by other evidence which: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408" w:after="0" w:line="408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tends to establish that an attempt was made to engage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in sexual intercourse [oral sexual conduct], [anal sexual conduct], [sexual contact], at the time of the occurrence;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408" w:after="3359" w:line="408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tends to connect the defendant with the commission of the offense or attempted offense.</w:t>
      </w:r>
    </w:p>
    <w:p>
      <w:pPr>
        <w:spacing w:before="408" w:after="3359" w:line="408" w:lineRule="exact"/>
        <w:sectPr>
          <w:type w:val="continuous"/>
          <w:pgSz w:w="12240" w:h="15840" w:orient="portrait"/>
          <w:pgMar w:bottom="1004" w:top="142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75" w:after="0" w:line="275" w:lineRule="exact"/>
        <w:ind w:right="0" w:left="64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2"/>
          <w:w w:val="100"/>
          <w:sz w:val="14"/>
          <w:vertAlign w:val="baseline"/>
          <w:lang w:val="en-US"/>
        </w:rPr>
      </w:pPr>
      <w:r>
        <w:pict>
          <v:line strokeweight="0.7pt" strokecolor="#000000" from="108pt,665.3pt" to="252.05pt,665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12"/>
          <w:w w:val="100"/>
          <w:sz w:val="14"/>
          <w:vertAlign w:val="baseline"/>
          <w:lang w:val="en-US"/>
        </w:rPr>
        <w:t xml:space="preserve">1 </w:t>
      </w:r>
      <w:r>
        <w:rPr>
          <w:rFonts w:ascii="Arial" w:hAnsi="Arial" w:eastAsia="Arial"/>
          <w:strike w:val="false"/>
          <w:color w:val="000000"/>
          <w:spacing w:val="12"/>
          <w:w w:val="100"/>
          <w:sz w:val="24"/>
          <w:vertAlign w:val="baseline"/>
          <w:lang w:val="en-US"/>
        </w:rPr>
        <w:t xml:space="preserve">Penal Law § 130.16.</w:t>
      </w:r>
    </w:p>
    <w:p>
      <w:pPr>
        <w:pageBreakBefore w:val="false"/>
        <w:spacing w:before="272" w:after="0" w:line="274" w:lineRule="exact"/>
        <w:ind w:right="0" w:left="64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14"/>
          <w:vertAlign w:val="baseline"/>
          <w:lang w:val="en-US"/>
        </w:rPr>
        <w:t xml:space="preserve">2 </w:t>
      </w:r>
      <w:r>
        <w:rPr>
          <w:rFonts w:ascii="Arial" w:hAnsi="Arial" w:eastAsia="Arial"/>
          <w:i w:val="true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People v. Groff</w:t>
      </w: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n-US"/>
        </w:rPr>
        <w:t xml:space="preserve">, 71 N.Y.2d 101, 108 (1987).</w:t>
      </w:r>
    </w:p>
    <w:sectPr>
      <w:type w:val="continuous"/>
      <w:pgSz w:w="12240" w:h="15840" w:orient="portrait"/>
      <w:pgMar w:bottom="1004" w:top="1420" w:right="420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(%1)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