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1AE1" w14:textId="19F1E2BB" w:rsidR="009C695A" w:rsidRPr="00394D76" w:rsidRDefault="009C695A" w:rsidP="00372E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4D76">
        <w:rPr>
          <w:rFonts w:ascii="Arial" w:hAnsi="Arial" w:cs="Arial"/>
          <w:b/>
          <w:bCs/>
          <w:sz w:val="28"/>
          <w:szCs w:val="28"/>
        </w:rPr>
        <w:t>CHAIN OF CUSTODY</w:t>
      </w:r>
      <w:r w:rsidR="00F13DD6">
        <w:rPr>
          <w:rFonts w:ascii="Arial" w:hAnsi="Arial" w:cs="Arial"/>
          <w:b/>
          <w:bCs/>
          <w:sz w:val="28"/>
          <w:szCs w:val="28"/>
        </w:rPr>
        <w:t xml:space="preserve"> </w:t>
      </w:r>
      <w:r w:rsidR="00F13DD6">
        <w:rPr>
          <w:rStyle w:val="EndnoteReference"/>
          <w:rFonts w:ascii="Arial" w:hAnsi="Arial" w:cs="Arial"/>
          <w:b/>
          <w:bCs/>
          <w:sz w:val="28"/>
          <w:szCs w:val="28"/>
        </w:rPr>
        <w:endnoteReference w:id="1"/>
      </w:r>
      <w:r w:rsidR="00F13DD6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3990E768" w14:textId="3791F26F" w:rsidR="009C695A" w:rsidRPr="009135AD" w:rsidRDefault="009C695A" w:rsidP="00E00255">
      <w:pPr>
        <w:ind w:left="720" w:right="720"/>
        <w:rPr>
          <w:rFonts w:ascii="Arial" w:hAnsi="Arial" w:cs="Arial"/>
        </w:rPr>
      </w:pPr>
      <w:r w:rsidRPr="00394D76">
        <w:rPr>
          <w:rFonts w:ascii="Arial" w:hAnsi="Arial" w:cs="Arial"/>
          <w:sz w:val="28"/>
          <w:szCs w:val="28"/>
        </w:rPr>
        <w:br/>
      </w:r>
      <w:r w:rsidRPr="009135AD">
        <w:rPr>
          <w:rFonts w:ascii="Arial" w:hAnsi="Arial" w:cs="Arial"/>
          <w:b/>
          <w:bCs/>
        </w:rPr>
        <w:t xml:space="preserve">NOTE: </w:t>
      </w:r>
      <w:r w:rsidR="004D1A7A" w:rsidRPr="009135AD">
        <w:rPr>
          <w:rFonts w:ascii="Arial" w:hAnsi="Arial" w:cs="Arial"/>
          <w:b/>
          <w:bCs/>
          <w:i/>
          <w:iCs/>
        </w:rPr>
        <w:t xml:space="preserve">This instruction </w:t>
      </w:r>
      <w:r w:rsidR="009B1D28" w:rsidRPr="009135AD">
        <w:rPr>
          <w:rFonts w:ascii="Arial" w:hAnsi="Arial" w:cs="Arial"/>
          <w:b/>
          <w:bCs/>
          <w:i/>
          <w:iCs/>
        </w:rPr>
        <w:t>is for inclusion</w:t>
      </w:r>
      <w:r w:rsidR="004D1A7A" w:rsidRPr="009135AD">
        <w:rPr>
          <w:rFonts w:ascii="Arial" w:hAnsi="Arial" w:cs="Arial"/>
          <w:b/>
          <w:bCs/>
          <w:i/>
          <w:iCs/>
        </w:rPr>
        <w:t xml:space="preserve"> in</w:t>
      </w:r>
      <w:r w:rsidR="009B5FA3" w:rsidRPr="009135AD">
        <w:rPr>
          <w:rFonts w:ascii="Arial" w:hAnsi="Arial" w:cs="Arial"/>
          <w:b/>
          <w:bCs/>
          <w:i/>
          <w:iCs/>
        </w:rPr>
        <w:t xml:space="preserve"> the F</w:t>
      </w:r>
      <w:r w:rsidR="004D1A7A" w:rsidRPr="009135AD">
        <w:rPr>
          <w:rFonts w:ascii="Arial" w:hAnsi="Arial" w:cs="Arial"/>
          <w:b/>
          <w:bCs/>
          <w:i/>
          <w:iCs/>
        </w:rPr>
        <w:t xml:space="preserve">inal </w:t>
      </w:r>
      <w:r w:rsidR="009B5FA3" w:rsidRPr="009135AD">
        <w:rPr>
          <w:rFonts w:ascii="Arial" w:hAnsi="Arial" w:cs="Arial"/>
          <w:b/>
          <w:bCs/>
          <w:i/>
          <w:iCs/>
        </w:rPr>
        <w:t>I</w:t>
      </w:r>
      <w:r w:rsidR="004D1A7A" w:rsidRPr="009135AD">
        <w:rPr>
          <w:rFonts w:ascii="Arial" w:hAnsi="Arial" w:cs="Arial"/>
          <w:b/>
          <w:bCs/>
          <w:i/>
          <w:iCs/>
        </w:rPr>
        <w:t xml:space="preserve">nstructions </w:t>
      </w:r>
      <w:r w:rsidR="009B1D28" w:rsidRPr="009135AD">
        <w:rPr>
          <w:rFonts w:ascii="Arial" w:hAnsi="Arial" w:cs="Arial"/>
          <w:b/>
          <w:bCs/>
          <w:i/>
          <w:iCs/>
        </w:rPr>
        <w:t xml:space="preserve">to the jury </w:t>
      </w:r>
      <w:r w:rsidR="004D1A7A" w:rsidRPr="009135AD">
        <w:rPr>
          <w:rFonts w:ascii="Arial" w:hAnsi="Arial" w:cs="Arial"/>
          <w:b/>
          <w:bCs/>
          <w:i/>
          <w:iCs/>
        </w:rPr>
        <w:t xml:space="preserve">when </w:t>
      </w:r>
      <w:r w:rsidR="00595A88" w:rsidRPr="009135AD">
        <w:rPr>
          <w:rFonts w:ascii="Arial" w:hAnsi="Arial" w:cs="Arial"/>
          <w:b/>
          <w:bCs/>
          <w:i/>
          <w:iCs/>
        </w:rPr>
        <w:t xml:space="preserve">the </w:t>
      </w:r>
      <w:r w:rsidR="004D1A7A" w:rsidRPr="009135AD">
        <w:rPr>
          <w:rFonts w:ascii="Arial" w:hAnsi="Arial" w:cs="Arial"/>
          <w:b/>
          <w:bCs/>
          <w:i/>
          <w:iCs/>
        </w:rPr>
        <w:t>chain of custody</w:t>
      </w:r>
      <w:r w:rsidR="00595A88" w:rsidRPr="009135AD">
        <w:rPr>
          <w:rFonts w:ascii="Arial" w:hAnsi="Arial" w:cs="Arial"/>
          <w:b/>
          <w:bCs/>
          <w:i/>
          <w:iCs/>
        </w:rPr>
        <w:t xml:space="preserve"> of fungible evidence</w:t>
      </w:r>
      <w:r w:rsidR="004D1A7A" w:rsidRPr="009135AD">
        <w:rPr>
          <w:rFonts w:ascii="Arial" w:hAnsi="Arial" w:cs="Arial"/>
          <w:b/>
          <w:bCs/>
          <w:i/>
          <w:iCs/>
        </w:rPr>
        <w:t xml:space="preserve"> is in issue.</w:t>
      </w:r>
    </w:p>
    <w:p w14:paraId="3649A35F" w14:textId="77777777" w:rsidR="009C695A" w:rsidRPr="00394D76" w:rsidRDefault="009C695A" w:rsidP="00DF32C6">
      <w:pPr>
        <w:rPr>
          <w:rFonts w:ascii="Arial" w:hAnsi="Arial" w:cs="Arial"/>
          <w:sz w:val="28"/>
          <w:szCs w:val="28"/>
        </w:rPr>
      </w:pPr>
    </w:p>
    <w:p w14:paraId="502E2FE8" w14:textId="1DA9975B" w:rsidR="006945CF" w:rsidRPr="00394D76" w:rsidRDefault="00364A34" w:rsidP="00DF32C6">
      <w:pPr>
        <w:rPr>
          <w:rFonts w:ascii="Arial" w:hAnsi="Arial" w:cs="Arial"/>
          <w:sz w:val="28"/>
          <w:szCs w:val="28"/>
        </w:rPr>
      </w:pPr>
      <w:r w:rsidRPr="00394D76">
        <w:rPr>
          <w:rFonts w:ascii="Arial" w:hAnsi="Arial" w:cs="Arial"/>
          <w:sz w:val="28"/>
          <w:szCs w:val="28"/>
        </w:rPr>
        <w:t>In this case, (</w:t>
      </w:r>
      <w:r w:rsidRPr="00394D76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313424" w:rsidRPr="00394D76">
        <w:rPr>
          <w:rFonts w:ascii="Arial" w:hAnsi="Arial" w:cs="Arial"/>
          <w:i/>
          <w:iCs/>
          <w:sz w:val="28"/>
          <w:szCs w:val="28"/>
          <w:u w:val="single"/>
        </w:rPr>
        <w:t xml:space="preserve"> the fungible evidence</w:t>
      </w:r>
      <w:r w:rsidR="003F76B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A1432E">
        <w:rPr>
          <w:rFonts w:ascii="Arial" w:hAnsi="Arial" w:cs="Arial"/>
          <w:i/>
          <w:iCs/>
          <w:sz w:val="28"/>
          <w:szCs w:val="28"/>
          <w:u w:val="single"/>
        </w:rPr>
        <w:t>[or exhibit identification]</w:t>
      </w:r>
      <w:r w:rsidRPr="00394D76">
        <w:rPr>
          <w:rFonts w:ascii="Arial" w:hAnsi="Arial" w:cs="Arial"/>
          <w:sz w:val="28"/>
          <w:szCs w:val="28"/>
        </w:rPr>
        <w:t>), was introduced in evidence. Because such evidence is fungible, that is, because it is of such a nature that another object could be substituted for it or its condition could be changed, you should consider what</w:t>
      </w:r>
      <w:r w:rsidR="002055BD" w:rsidRPr="00394D76">
        <w:rPr>
          <w:rFonts w:ascii="Arial" w:hAnsi="Arial" w:cs="Arial"/>
          <w:sz w:val="28"/>
          <w:szCs w:val="28"/>
        </w:rPr>
        <w:t xml:space="preserve"> the law refers</w:t>
      </w:r>
      <w:r w:rsidR="007D55DA" w:rsidRPr="00394D76">
        <w:rPr>
          <w:rFonts w:ascii="Arial" w:hAnsi="Arial" w:cs="Arial"/>
          <w:sz w:val="28"/>
          <w:szCs w:val="28"/>
        </w:rPr>
        <w:t xml:space="preserve"> </w:t>
      </w:r>
      <w:r w:rsidRPr="00394D76">
        <w:rPr>
          <w:rFonts w:ascii="Arial" w:hAnsi="Arial" w:cs="Arial"/>
          <w:sz w:val="28"/>
          <w:szCs w:val="28"/>
        </w:rPr>
        <w:t>to as its “chain of custody,” that is,</w:t>
      </w:r>
      <w:r w:rsidR="00EA0A97" w:rsidRPr="00394D76">
        <w:rPr>
          <w:rFonts w:ascii="Arial" w:hAnsi="Arial" w:cs="Arial"/>
          <w:sz w:val="28"/>
          <w:szCs w:val="28"/>
        </w:rPr>
        <w:t xml:space="preserve"> </w:t>
      </w:r>
      <w:r w:rsidR="00151E3D" w:rsidRPr="00394D76">
        <w:rPr>
          <w:rFonts w:ascii="Arial" w:hAnsi="Arial" w:cs="Arial"/>
          <w:sz w:val="28"/>
          <w:szCs w:val="28"/>
        </w:rPr>
        <w:t xml:space="preserve">whether </w:t>
      </w:r>
      <w:r w:rsidR="00300B45" w:rsidRPr="00394D76">
        <w:rPr>
          <w:rFonts w:ascii="Arial" w:hAnsi="Arial" w:cs="Arial"/>
          <w:sz w:val="28"/>
          <w:szCs w:val="28"/>
        </w:rPr>
        <w:t>the circumstances surrounding the possession [and testing]</w:t>
      </w:r>
      <w:r w:rsidR="004C2E1E" w:rsidRPr="00394D76">
        <w:rPr>
          <w:rFonts w:ascii="Arial" w:hAnsi="Arial" w:cs="Arial"/>
          <w:sz w:val="28"/>
          <w:szCs w:val="28"/>
        </w:rPr>
        <w:t xml:space="preserve"> of </w:t>
      </w:r>
      <w:r w:rsidR="00F002A8" w:rsidRPr="00394D76">
        <w:rPr>
          <w:rFonts w:ascii="Arial" w:hAnsi="Arial" w:cs="Arial"/>
          <w:sz w:val="28"/>
          <w:szCs w:val="28"/>
        </w:rPr>
        <w:t>(</w:t>
      </w:r>
      <w:r w:rsidR="00F002A8" w:rsidRPr="00394D76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D40025" w:rsidRPr="00394D76">
        <w:rPr>
          <w:rFonts w:ascii="Arial" w:hAnsi="Arial" w:cs="Arial"/>
          <w:i/>
          <w:iCs/>
          <w:sz w:val="28"/>
          <w:szCs w:val="28"/>
          <w:u w:val="single"/>
        </w:rPr>
        <w:t xml:space="preserve"> the fungible evidence</w:t>
      </w:r>
      <w:r w:rsidR="00F352F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F352F5">
        <w:rPr>
          <w:rFonts w:ascii="Arial" w:hAnsi="Arial" w:cs="Arial"/>
          <w:i/>
          <w:iCs/>
          <w:sz w:val="28"/>
          <w:szCs w:val="28"/>
          <w:u w:val="single"/>
        </w:rPr>
        <w:t>[or</w:t>
      </w:r>
      <w:r w:rsidR="00F352F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F352F5">
        <w:rPr>
          <w:rFonts w:ascii="Arial" w:hAnsi="Arial" w:cs="Arial"/>
          <w:i/>
          <w:iCs/>
          <w:sz w:val="28"/>
          <w:szCs w:val="28"/>
          <w:u w:val="single"/>
        </w:rPr>
        <w:t>exhibit identification]</w:t>
      </w:r>
      <w:r w:rsidR="00F352F5" w:rsidRPr="00394D76">
        <w:rPr>
          <w:rFonts w:ascii="Arial" w:hAnsi="Arial" w:cs="Arial"/>
          <w:sz w:val="28"/>
          <w:szCs w:val="28"/>
        </w:rPr>
        <w:t>)</w:t>
      </w:r>
      <w:r w:rsidR="00F002A8" w:rsidRPr="00394D76">
        <w:rPr>
          <w:rFonts w:ascii="Arial" w:hAnsi="Arial" w:cs="Arial"/>
          <w:sz w:val="28"/>
          <w:szCs w:val="28"/>
        </w:rPr>
        <w:t>)</w:t>
      </w:r>
      <w:r w:rsidR="006376F7" w:rsidRPr="00394D76">
        <w:rPr>
          <w:rFonts w:ascii="Arial" w:hAnsi="Arial" w:cs="Arial"/>
          <w:sz w:val="28"/>
          <w:szCs w:val="28"/>
        </w:rPr>
        <w:t xml:space="preserve"> provide</w:t>
      </w:r>
      <w:r w:rsidR="00300B45" w:rsidRPr="00394D76">
        <w:rPr>
          <w:rFonts w:ascii="Arial" w:hAnsi="Arial" w:cs="Arial"/>
          <w:sz w:val="28"/>
          <w:szCs w:val="28"/>
        </w:rPr>
        <w:t xml:space="preserve"> reasonable assurances of the identity and unchanged condition of the evidence.</w:t>
      </w:r>
      <w:r w:rsidR="004C2E1E" w:rsidRPr="00394D76">
        <w:rPr>
          <w:rFonts w:ascii="Arial" w:hAnsi="Arial" w:cs="Arial"/>
          <w:sz w:val="28"/>
          <w:szCs w:val="28"/>
        </w:rPr>
        <w:t xml:space="preserve"> </w:t>
      </w:r>
    </w:p>
    <w:p w14:paraId="0C20B914" w14:textId="01A01B3A" w:rsidR="007C7A9E" w:rsidRPr="00394D76" w:rsidRDefault="00364A34">
      <w:pPr>
        <w:rPr>
          <w:rFonts w:ascii="Arial" w:hAnsi="Arial" w:cs="Arial"/>
          <w:sz w:val="28"/>
          <w:szCs w:val="28"/>
        </w:rPr>
      </w:pPr>
      <w:r w:rsidRPr="00394D76">
        <w:rPr>
          <w:rFonts w:ascii="Arial" w:hAnsi="Arial" w:cs="Arial"/>
          <w:sz w:val="28"/>
          <w:szCs w:val="28"/>
        </w:rPr>
        <w:t xml:space="preserve">In </w:t>
      </w:r>
      <w:r w:rsidR="00B84A8B" w:rsidRPr="00394D76">
        <w:rPr>
          <w:rFonts w:ascii="Arial" w:hAnsi="Arial" w:cs="Arial"/>
          <w:sz w:val="28"/>
          <w:szCs w:val="28"/>
        </w:rPr>
        <w:t xml:space="preserve">making that determination, </w:t>
      </w:r>
      <w:r w:rsidRPr="00394D76">
        <w:rPr>
          <w:rFonts w:ascii="Arial" w:hAnsi="Arial" w:cs="Arial"/>
          <w:sz w:val="28"/>
          <w:szCs w:val="28"/>
        </w:rPr>
        <w:t xml:space="preserve">consider the testimony </w:t>
      </w:r>
      <w:r w:rsidR="00F002A8" w:rsidRPr="00394D76">
        <w:rPr>
          <w:rFonts w:ascii="Arial" w:hAnsi="Arial" w:cs="Arial"/>
          <w:sz w:val="28"/>
          <w:szCs w:val="28"/>
        </w:rPr>
        <w:t>of</w:t>
      </w:r>
      <w:r w:rsidRPr="00394D76">
        <w:rPr>
          <w:rFonts w:ascii="Arial" w:hAnsi="Arial" w:cs="Arial"/>
          <w:sz w:val="28"/>
          <w:szCs w:val="28"/>
        </w:rPr>
        <w:t xml:space="preserve"> </w:t>
      </w:r>
      <w:r w:rsidR="00104E2F" w:rsidRPr="00394D76">
        <w:rPr>
          <w:rFonts w:ascii="Arial" w:hAnsi="Arial" w:cs="Arial"/>
          <w:i/>
          <w:iCs/>
          <w:sz w:val="28"/>
          <w:szCs w:val="28"/>
          <w:u w:val="single"/>
        </w:rPr>
        <w:t>(specify name</w:t>
      </w:r>
      <w:r w:rsidR="002C2C81" w:rsidRPr="00394D76">
        <w:rPr>
          <w:rFonts w:ascii="Arial" w:hAnsi="Arial" w:cs="Arial"/>
          <w:i/>
          <w:iCs/>
          <w:sz w:val="28"/>
          <w:szCs w:val="28"/>
          <w:u w:val="single"/>
        </w:rPr>
        <w:t xml:space="preserve"> of witness(es) or specify:</w:t>
      </w:r>
      <w:r w:rsidR="0037376A" w:rsidRPr="00394D76">
        <w:rPr>
          <w:rFonts w:ascii="Arial" w:hAnsi="Arial" w:cs="Arial"/>
          <w:i/>
          <w:iCs/>
          <w:sz w:val="28"/>
          <w:szCs w:val="28"/>
          <w:u w:val="single"/>
        </w:rPr>
        <w:t xml:space="preserve"> “</w:t>
      </w:r>
      <w:r w:rsidRPr="00394D76">
        <w:rPr>
          <w:rFonts w:ascii="Arial" w:hAnsi="Arial" w:cs="Arial"/>
          <w:i/>
          <w:iCs/>
          <w:sz w:val="28"/>
          <w:szCs w:val="28"/>
          <w:u w:val="single"/>
        </w:rPr>
        <w:t>those witnesses</w:t>
      </w:r>
      <w:r w:rsidR="0037376A" w:rsidRPr="00394D76">
        <w:rPr>
          <w:rFonts w:ascii="Arial" w:hAnsi="Arial" w:cs="Arial"/>
          <w:i/>
          <w:iCs/>
          <w:sz w:val="28"/>
          <w:szCs w:val="28"/>
          <w:u w:val="single"/>
        </w:rPr>
        <w:t>”)</w:t>
      </w:r>
      <w:r w:rsidRPr="00394D76">
        <w:rPr>
          <w:rFonts w:ascii="Arial" w:hAnsi="Arial" w:cs="Arial"/>
          <w:sz w:val="28"/>
          <w:szCs w:val="28"/>
        </w:rPr>
        <w:t xml:space="preserve"> who handled and identified</w:t>
      </w:r>
      <w:r w:rsidR="002728CC" w:rsidRPr="00394D76">
        <w:rPr>
          <w:rFonts w:ascii="Arial" w:hAnsi="Arial" w:cs="Arial"/>
          <w:sz w:val="28"/>
          <w:szCs w:val="28"/>
        </w:rPr>
        <w:t xml:space="preserve"> </w:t>
      </w:r>
      <w:r w:rsidR="002728CC" w:rsidRPr="00394D76">
        <w:rPr>
          <w:rFonts w:ascii="Arial" w:hAnsi="Arial" w:cs="Arial"/>
          <w:i/>
          <w:iCs/>
          <w:sz w:val="28"/>
          <w:szCs w:val="28"/>
          <w:u w:val="single"/>
        </w:rPr>
        <w:t>(specify</w:t>
      </w:r>
      <w:r w:rsidR="00D40025" w:rsidRPr="00394D76">
        <w:rPr>
          <w:rFonts w:ascii="Arial" w:hAnsi="Arial" w:cs="Arial"/>
          <w:i/>
          <w:iCs/>
          <w:sz w:val="28"/>
          <w:szCs w:val="28"/>
          <w:u w:val="single"/>
        </w:rPr>
        <w:t xml:space="preserve"> the fungible evidence</w:t>
      </w:r>
      <w:r w:rsidR="00F352F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F352F5">
        <w:rPr>
          <w:rFonts w:ascii="Arial" w:hAnsi="Arial" w:cs="Arial"/>
          <w:i/>
          <w:iCs/>
          <w:sz w:val="28"/>
          <w:szCs w:val="28"/>
          <w:u w:val="single"/>
        </w:rPr>
        <w:t>[or exhibit identification]</w:t>
      </w:r>
      <w:r w:rsidR="00F352F5" w:rsidRPr="00394D76">
        <w:rPr>
          <w:rFonts w:ascii="Arial" w:hAnsi="Arial" w:cs="Arial"/>
          <w:sz w:val="28"/>
          <w:szCs w:val="28"/>
        </w:rPr>
        <w:t>)</w:t>
      </w:r>
      <w:r w:rsidR="002728CC" w:rsidRPr="00394D76">
        <w:rPr>
          <w:rFonts w:ascii="Arial" w:hAnsi="Arial" w:cs="Arial"/>
          <w:sz w:val="28"/>
          <w:szCs w:val="28"/>
        </w:rPr>
        <w:t xml:space="preserve"> </w:t>
      </w:r>
      <w:r w:rsidRPr="00394D76">
        <w:rPr>
          <w:rFonts w:ascii="Arial" w:hAnsi="Arial" w:cs="Arial"/>
          <w:sz w:val="28"/>
          <w:szCs w:val="28"/>
        </w:rPr>
        <w:t>and</w:t>
      </w:r>
      <w:r w:rsidR="008D1B63" w:rsidRPr="00394D76">
        <w:rPr>
          <w:rFonts w:ascii="Arial" w:hAnsi="Arial" w:cs="Arial"/>
          <w:sz w:val="28"/>
          <w:szCs w:val="28"/>
        </w:rPr>
        <w:t xml:space="preserve"> </w:t>
      </w:r>
      <w:r w:rsidRPr="00394D76">
        <w:rPr>
          <w:rFonts w:ascii="Arial" w:hAnsi="Arial" w:cs="Arial"/>
          <w:sz w:val="28"/>
          <w:szCs w:val="28"/>
        </w:rPr>
        <w:t xml:space="preserve">their testimony as to its </w:t>
      </w:r>
      <w:r w:rsidR="00600669" w:rsidRPr="00394D76">
        <w:rPr>
          <w:rFonts w:ascii="Arial" w:hAnsi="Arial" w:cs="Arial"/>
          <w:sz w:val="28"/>
          <w:szCs w:val="28"/>
        </w:rPr>
        <w:t xml:space="preserve">manner of </w:t>
      </w:r>
      <w:r w:rsidRPr="00394D76">
        <w:rPr>
          <w:rFonts w:ascii="Arial" w:hAnsi="Arial" w:cs="Arial"/>
          <w:sz w:val="28"/>
          <w:szCs w:val="28"/>
        </w:rPr>
        <w:t xml:space="preserve">custody and condition while in their possession.  </w:t>
      </w:r>
      <w:r w:rsidR="003B64C1" w:rsidRPr="00394D76">
        <w:rPr>
          <w:rFonts w:ascii="Arial" w:hAnsi="Arial" w:cs="Arial"/>
          <w:sz w:val="28"/>
          <w:szCs w:val="28"/>
        </w:rPr>
        <w:t xml:space="preserve"> </w:t>
      </w:r>
    </w:p>
    <w:p w14:paraId="3107D745" w14:textId="45A2B915" w:rsidR="007C04D1" w:rsidRPr="00394D76" w:rsidRDefault="00AF671E">
      <w:pPr>
        <w:rPr>
          <w:rFonts w:ascii="Arial" w:hAnsi="Arial" w:cs="Arial"/>
          <w:i/>
          <w:iCs/>
          <w:sz w:val="28"/>
          <w:szCs w:val="28"/>
          <w:u w:val="single"/>
        </w:rPr>
      </w:pPr>
      <w:r w:rsidRPr="00394D76">
        <w:rPr>
          <w:rFonts w:ascii="Arial" w:hAnsi="Arial" w:cs="Arial"/>
          <w:i/>
          <w:iCs/>
          <w:sz w:val="28"/>
          <w:szCs w:val="28"/>
          <w:u w:val="single"/>
        </w:rPr>
        <w:t xml:space="preserve">Note: </w:t>
      </w:r>
      <w:r w:rsidR="007C04D1" w:rsidRPr="00394D76">
        <w:rPr>
          <w:rFonts w:ascii="Arial" w:hAnsi="Arial" w:cs="Arial"/>
          <w:i/>
          <w:iCs/>
          <w:sz w:val="28"/>
          <w:szCs w:val="28"/>
          <w:u w:val="single"/>
        </w:rPr>
        <w:t>Include as may be applicable:</w:t>
      </w:r>
    </w:p>
    <w:p w14:paraId="67296398" w14:textId="7E200D54" w:rsidR="00FE39A8" w:rsidRPr="00394D76" w:rsidRDefault="004E7074" w:rsidP="007C04D1">
      <w:pPr>
        <w:ind w:left="720"/>
        <w:rPr>
          <w:rFonts w:ascii="Arial" w:hAnsi="Arial" w:cs="Arial"/>
          <w:sz w:val="28"/>
          <w:szCs w:val="28"/>
        </w:rPr>
      </w:pPr>
      <w:r w:rsidRPr="00394D76">
        <w:rPr>
          <w:rFonts w:ascii="Arial" w:hAnsi="Arial" w:cs="Arial"/>
          <w:sz w:val="28"/>
          <w:szCs w:val="28"/>
        </w:rPr>
        <w:t>You may consider</w:t>
      </w:r>
      <w:r w:rsidR="00201D3E" w:rsidRPr="00394D76">
        <w:rPr>
          <w:rFonts w:ascii="Arial" w:hAnsi="Arial" w:cs="Arial"/>
          <w:sz w:val="28"/>
          <w:szCs w:val="28"/>
        </w:rPr>
        <w:t>, for example,</w:t>
      </w:r>
      <w:r w:rsidR="00780811" w:rsidRPr="00394D76">
        <w:rPr>
          <w:rFonts w:ascii="Arial" w:hAnsi="Arial" w:cs="Arial"/>
          <w:sz w:val="28"/>
          <w:szCs w:val="28"/>
        </w:rPr>
        <w:t xml:space="preserve"> </w:t>
      </w:r>
      <w:r w:rsidR="00651402" w:rsidRPr="00394D76">
        <w:rPr>
          <w:rFonts w:ascii="Arial" w:hAnsi="Arial" w:cs="Arial"/>
          <w:sz w:val="28"/>
          <w:szCs w:val="28"/>
        </w:rPr>
        <w:t xml:space="preserve">whether there were any </w:t>
      </w:r>
      <w:r w:rsidR="00780811" w:rsidRPr="00394D76">
        <w:rPr>
          <w:rFonts w:ascii="Arial" w:hAnsi="Arial" w:cs="Arial"/>
          <w:sz w:val="28"/>
          <w:szCs w:val="28"/>
        </w:rPr>
        <w:t>gaps in the “chain of custody</w:t>
      </w:r>
      <w:r w:rsidR="00BC39EB" w:rsidRPr="00394D76">
        <w:rPr>
          <w:rFonts w:ascii="Arial" w:hAnsi="Arial" w:cs="Arial"/>
          <w:sz w:val="28"/>
          <w:szCs w:val="28"/>
        </w:rPr>
        <w:t>.</w:t>
      </w:r>
      <w:r w:rsidR="00780811" w:rsidRPr="00394D76">
        <w:rPr>
          <w:rFonts w:ascii="Arial" w:hAnsi="Arial" w:cs="Arial"/>
          <w:sz w:val="28"/>
          <w:szCs w:val="28"/>
        </w:rPr>
        <w:t>”</w:t>
      </w:r>
      <w:r w:rsidR="00BC39EB" w:rsidRPr="00394D76">
        <w:rPr>
          <w:rFonts w:ascii="Arial" w:hAnsi="Arial" w:cs="Arial"/>
          <w:sz w:val="28"/>
          <w:szCs w:val="28"/>
        </w:rPr>
        <w:t xml:space="preserve"> If there were</w:t>
      </w:r>
      <w:r w:rsidR="00780811" w:rsidRPr="00394D76">
        <w:rPr>
          <w:rFonts w:ascii="Arial" w:hAnsi="Arial" w:cs="Arial"/>
          <w:sz w:val="28"/>
          <w:szCs w:val="28"/>
        </w:rPr>
        <w:t xml:space="preserve">, you </w:t>
      </w:r>
      <w:r w:rsidR="007C04D1" w:rsidRPr="00394D76">
        <w:rPr>
          <w:rFonts w:ascii="Arial" w:hAnsi="Arial" w:cs="Arial"/>
          <w:sz w:val="28"/>
          <w:szCs w:val="28"/>
        </w:rPr>
        <w:t>may</w:t>
      </w:r>
      <w:r w:rsidR="00780811" w:rsidRPr="00394D76">
        <w:rPr>
          <w:rFonts w:ascii="Arial" w:hAnsi="Arial" w:cs="Arial"/>
          <w:sz w:val="28"/>
          <w:szCs w:val="28"/>
        </w:rPr>
        <w:t xml:space="preserve"> consider the length of those gaps and their significance</w:t>
      </w:r>
      <w:r w:rsidR="00D16B99" w:rsidRPr="00394D76">
        <w:rPr>
          <w:rFonts w:ascii="Arial" w:hAnsi="Arial" w:cs="Arial"/>
          <w:sz w:val="28"/>
          <w:szCs w:val="28"/>
        </w:rPr>
        <w:t xml:space="preserve"> </w:t>
      </w:r>
      <w:r w:rsidR="00780811" w:rsidRPr="00394D76">
        <w:rPr>
          <w:rFonts w:ascii="Arial" w:hAnsi="Arial" w:cs="Arial"/>
          <w:sz w:val="28"/>
          <w:szCs w:val="28"/>
        </w:rPr>
        <w:t xml:space="preserve">in assuring the </w:t>
      </w:r>
      <w:r w:rsidR="00E95AE8" w:rsidRPr="00394D76">
        <w:rPr>
          <w:rFonts w:ascii="Arial" w:hAnsi="Arial" w:cs="Arial"/>
          <w:sz w:val="28"/>
          <w:szCs w:val="28"/>
        </w:rPr>
        <w:t>identity</w:t>
      </w:r>
      <w:r w:rsidR="00780811" w:rsidRPr="00394D76">
        <w:rPr>
          <w:rFonts w:ascii="Arial" w:hAnsi="Arial" w:cs="Arial"/>
          <w:sz w:val="28"/>
          <w:szCs w:val="28"/>
        </w:rPr>
        <w:t xml:space="preserve"> and unchanged condition of the evidence</w:t>
      </w:r>
      <w:r w:rsidR="00201D3E" w:rsidRPr="00394D76">
        <w:rPr>
          <w:rFonts w:ascii="Arial" w:hAnsi="Arial" w:cs="Arial"/>
          <w:sz w:val="28"/>
          <w:szCs w:val="28"/>
        </w:rPr>
        <w:t xml:space="preserve">. </w:t>
      </w:r>
    </w:p>
    <w:p w14:paraId="08238A91" w14:textId="66B549A3" w:rsidR="00AF671E" w:rsidRPr="00394D76" w:rsidRDefault="00651402" w:rsidP="007C04D1">
      <w:pPr>
        <w:ind w:left="720"/>
        <w:rPr>
          <w:rFonts w:ascii="Arial" w:hAnsi="Arial" w:cs="Arial"/>
          <w:sz w:val="28"/>
          <w:szCs w:val="28"/>
        </w:rPr>
      </w:pPr>
      <w:r w:rsidRPr="00394D76">
        <w:rPr>
          <w:rFonts w:ascii="Arial" w:hAnsi="Arial" w:cs="Arial"/>
          <w:sz w:val="28"/>
          <w:szCs w:val="28"/>
        </w:rPr>
        <w:t>You may consider whether or not logical explanations were provided for any inconsistencies in the testimony or in the physical evidence, or can reasonably be inferred from the surrounding circumstances.</w:t>
      </w:r>
    </w:p>
    <w:p w14:paraId="5521124A" w14:textId="7077C320" w:rsidR="002F67F9" w:rsidRPr="00394D76" w:rsidRDefault="00D53859" w:rsidP="00651402">
      <w:pPr>
        <w:rPr>
          <w:rFonts w:ascii="Arial" w:hAnsi="Arial" w:cs="Arial"/>
          <w:sz w:val="28"/>
          <w:szCs w:val="28"/>
        </w:rPr>
      </w:pPr>
      <w:r w:rsidRPr="00394D76">
        <w:rPr>
          <w:rFonts w:ascii="Arial" w:hAnsi="Arial" w:cs="Arial"/>
          <w:sz w:val="28"/>
          <w:szCs w:val="28"/>
        </w:rPr>
        <w:t xml:space="preserve">Whether the evidence provides </w:t>
      </w:r>
      <w:r w:rsidR="00385A4B" w:rsidRPr="00394D76">
        <w:rPr>
          <w:rFonts w:ascii="Arial" w:hAnsi="Arial" w:cs="Arial"/>
          <w:sz w:val="28"/>
          <w:szCs w:val="28"/>
        </w:rPr>
        <w:t xml:space="preserve">reasonable assurances </w:t>
      </w:r>
      <w:r w:rsidR="00305FB1" w:rsidRPr="00394D76">
        <w:rPr>
          <w:rFonts w:ascii="Arial" w:hAnsi="Arial" w:cs="Arial"/>
          <w:sz w:val="28"/>
          <w:szCs w:val="28"/>
        </w:rPr>
        <w:t>of the identity of</w:t>
      </w:r>
      <w:r w:rsidR="00385A4B" w:rsidRPr="00394D76">
        <w:rPr>
          <w:rFonts w:ascii="Arial" w:hAnsi="Arial" w:cs="Arial"/>
          <w:sz w:val="28"/>
          <w:szCs w:val="28"/>
        </w:rPr>
        <w:t xml:space="preserve"> </w:t>
      </w:r>
      <w:bookmarkStart w:id="0" w:name="_Hlk171669779"/>
      <w:r w:rsidR="003961DF">
        <w:rPr>
          <w:rFonts w:ascii="Arial" w:hAnsi="Arial" w:cs="Arial"/>
          <w:sz w:val="28"/>
          <w:szCs w:val="28"/>
        </w:rPr>
        <w:t>(</w:t>
      </w:r>
      <w:r w:rsidR="003961DF" w:rsidRPr="003961DF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3F76BA" w:rsidRPr="003F76B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3F76BA" w:rsidRPr="00394D76">
        <w:rPr>
          <w:rFonts w:ascii="Arial" w:hAnsi="Arial" w:cs="Arial"/>
          <w:i/>
          <w:iCs/>
          <w:sz w:val="28"/>
          <w:szCs w:val="28"/>
          <w:u w:val="single"/>
        </w:rPr>
        <w:t>the fungible evidence</w:t>
      </w:r>
      <w:r w:rsidR="00F352F5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F352F5">
        <w:rPr>
          <w:rFonts w:ascii="Arial" w:hAnsi="Arial" w:cs="Arial"/>
          <w:i/>
          <w:iCs/>
          <w:sz w:val="28"/>
          <w:szCs w:val="28"/>
          <w:u w:val="single"/>
        </w:rPr>
        <w:t>[or exhibit identification]</w:t>
      </w:r>
      <w:r w:rsidR="00F352F5" w:rsidRPr="00394D76">
        <w:rPr>
          <w:rFonts w:ascii="Arial" w:hAnsi="Arial" w:cs="Arial"/>
          <w:sz w:val="28"/>
          <w:szCs w:val="28"/>
        </w:rPr>
        <w:t>),</w:t>
      </w:r>
      <w:r w:rsidR="003961DF">
        <w:rPr>
          <w:rFonts w:ascii="Arial" w:hAnsi="Arial" w:cs="Arial"/>
          <w:sz w:val="28"/>
          <w:szCs w:val="28"/>
        </w:rPr>
        <w:t>)</w:t>
      </w:r>
      <w:r w:rsidR="00385A4B" w:rsidRPr="00394D76">
        <w:rPr>
          <w:rFonts w:ascii="Arial" w:hAnsi="Arial" w:cs="Arial"/>
          <w:sz w:val="28"/>
          <w:szCs w:val="28"/>
        </w:rPr>
        <w:t xml:space="preserve"> </w:t>
      </w:r>
      <w:bookmarkEnd w:id="0"/>
      <w:r w:rsidR="00305FB1" w:rsidRPr="00394D76">
        <w:rPr>
          <w:rFonts w:ascii="Arial" w:hAnsi="Arial" w:cs="Arial"/>
          <w:sz w:val="28"/>
          <w:szCs w:val="28"/>
        </w:rPr>
        <w:t>and it</w:t>
      </w:r>
      <w:r w:rsidR="00E434D9" w:rsidRPr="00394D76">
        <w:rPr>
          <w:rFonts w:ascii="Arial" w:hAnsi="Arial" w:cs="Arial"/>
          <w:sz w:val="28"/>
          <w:szCs w:val="28"/>
        </w:rPr>
        <w:t>s</w:t>
      </w:r>
      <w:r w:rsidR="00305FB1" w:rsidRPr="00394D76">
        <w:rPr>
          <w:rFonts w:ascii="Arial" w:hAnsi="Arial" w:cs="Arial"/>
          <w:sz w:val="28"/>
          <w:szCs w:val="28"/>
        </w:rPr>
        <w:t xml:space="preserve"> unchanged condition </w:t>
      </w:r>
      <w:r w:rsidR="003357EC" w:rsidRPr="00394D76">
        <w:rPr>
          <w:rFonts w:ascii="Arial" w:hAnsi="Arial" w:cs="Arial"/>
          <w:sz w:val="28"/>
          <w:szCs w:val="28"/>
        </w:rPr>
        <w:t>and what weight</w:t>
      </w:r>
      <w:r w:rsidR="00DC4A55">
        <w:rPr>
          <w:rFonts w:ascii="Arial" w:hAnsi="Arial" w:cs="Arial"/>
          <w:sz w:val="28"/>
          <w:szCs w:val="28"/>
        </w:rPr>
        <w:t xml:space="preserve">, </w:t>
      </w:r>
      <w:r w:rsidR="003357EC" w:rsidRPr="00394D76">
        <w:rPr>
          <w:rFonts w:ascii="Arial" w:hAnsi="Arial" w:cs="Arial"/>
          <w:sz w:val="28"/>
          <w:szCs w:val="28"/>
        </w:rPr>
        <w:t xml:space="preserve">that is, </w:t>
      </w:r>
      <w:r w:rsidR="0015354D">
        <w:rPr>
          <w:rFonts w:ascii="Arial" w:hAnsi="Arial" w:cs="Arial"/>
          <w:sz w:val="28"/>
          <w:szCs w:val="28"/>
        </w:rPr>
        <w:t xml:space="preserve">what </w:t>
      </w:r>
      <w:r w:rsidR="003357EC" w:rsidRPr="00394D76">
        <w:rPr>
          <w:rFonts w:ascii="Arial" w:hAnsi="Arial" w:cs="Arial"/>
          <w:sz w:val="28"/>
          <w:szCs w:val="28"/>
        </w:rPr>
        <w:t>degree of importance</w:t>
      </w:r>
      <w:r w:rsidR="00DC4A55">
        <w:rPr>
          <w:rFonts w:ascii="Arial" w:hAnsi="Arial" w:cs="Arial"/>
          <w:sz w:val="28"/>
          <w:szCs w:val="28"/>
        </w:rPr>
        <w:t>,</w:t>
      </w:r>
      <w:r w:rsidR="00421561">
        <w:rPr>
          <w:rFonts w:ascii="Arial" w:hAnsi="Arial" w:cs="Arial"/>
          <w:sz w:val="28"/>
          <w:szCs w:val="28"/>
        </w:rPr>
        <w:t xml:space="preserve"> </w:t>
      </w:r>
      <w:r w:rsidR="003357EC" w:rsidRPr="00394D76">
        <w:rPr>
          <w:rFonts w:ascii="Arial" w:hAnsi="Arial" w:cs="Arial"/>
          <w:sz w:val="28"/>
          <w:szCs w:val="28"/>
        </w:rPr>
        <w:t xml:space="preserve">to be given </w:t>
      </w:r>
      <w:r w:rsidR="00E96B48" w:rsidRPr="00394D76">
        <w:rPr>
          <w:rFonts w:ascii="Arial" w:hAnsi="Arial" w:cs="Arial"/>
          <w:sz w:val="28"/>
          <w:szCs w:val="28"/>
        </w:rPr>
        <w:t xml:space="preserve">to </w:t>
      </w:r>
      <w:r w:rsidR="001A7990">
        <w:rPr>
          <w:rFonts w:ascii="Arial" w:hAnsi="Arial" w:cs="Arial"/>
          <w:sz w:val="28"/>
          <w:szCs w:val="28"/>
        </w:rPr>
        <w:t>(</w:t>
      </w:r>
      <w:r w:rsidR="001A7990" w:rsidRPr="003961DF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3F76BA" w:rsidRPr="003F76B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3F76BA" w:rsidRPr="00394D76">
        <w:rPr>
          <w:rFonts w:ascii="Arial" w:hAnsi="Arial" w:cs="Arial"/>
          <w:i/>
          <w:iCs/>
          <w:sz w:val="28"/>
          <w:szCs w:val="28"/>
          <w:u w:val="single"/>
        </w:rPr>
        <w:t>the fungible evidence</w:t>
      </w:r>
      <w:r w:rsidR="00F352F5">
        <w:rPr>
          <w:rFonts w:ascii="Arial" w:hAnsi="Arial" w:cs="Arial"/>
          <w:i/>
          <w:iCs/>
          <w:sz w:val="28"/>
          <w:szCs w:val="28"/>
          <w:u w:val="single"/>
        </w:rPr>
        <w:t>[or exhibit identification]</w:t>
      </w:r>
      <w:r w:rsidR="00F352F5" w:rsidRPr="00394D76">
        <w:rPr>
          <w:rFonts w:ascii="Arial" w:hAnsi="Arial" w:cs="Arial"/>
          <w:sz w:val="28"/>
          <w:szCs w:val="28"/>
        </w:rPr>
        <w:t>)</w:t>
      </w:r>
      <w:r w:rsidR="001A7990" w:rsidRPr="00394D76">
        <w:rPr>
          <w:rFonts w:ascii="Arial" w:hAnsi="Arial" w:cs="Arial"/>
          <w:sz w:val="28"/>
          <w:szCs w:val="28"/>
        </w:rPr>
        <w:t xml:space="preserve"> </w:t>
      </w:r>
      <w:r w:rsidR="003357EC" w:rsidRPr="00394D76">
        <w:rPr>
          <w:rFonts w:ascii="Arial" w:hAnsi="Arial" w:cs="Arial"/>
          <w:sz w:val="28"/>
          <w:szCs w:val="28"/>
        </w:rPr>
        <w:t xml:space="preserve"> is for you to decide.</w:t>
      </w:r>
    </w:p>
    <w:p w14:paraId="58C00A36" w14:textId="4712243B" w:rsidR="00201D3E" w:rsidRPr="00394D76" w:rsidRDefault="00201D3E">
      <w:pPr>
        <w:rPr>
          <w:rFonts w:ascii="Arial" w:hAnsi="Arial" w:cs="Arial"/>
          <w:sz w:val="28"/>
          <w:szCs w:val="28"/>
        </w:rPr>
      </w:pPr>
    </w:p>
    <w:sectPr w:rsidR="00201D3E" w:rsidRPr="00394D76" w:rsidSect="00364A34">
      <w:endnotePr>
        <w:numFmt w:val="decimal"/>
      </w:endnotePr>
      <w:type w:val="continuous"/>
      <w:pgSz w:w="12240" w:h="15840" w:code="1"/>
      <w:pgMar w:top="1080" w:right="2160" w:bottom="1080" w:left="216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8DF48" w14:textId="77777777" w:rsidR="002F4115" w:rsidRDefault="002F4115" w:rsidP="008B3113">
      <w:pPr>
        <w:spacing w:after="0" w:line="240" w:lineRule="auto"/>
      </w:pPr>
      <w:r>
        <w:separator/>
      </w:r>
    </w:p>
  </w:endnote>
  <w:endnote w:type="continuationSeparator" w:id="0">
    <w:p w14:paraId="3DEBB389" w14:textId="77777777" w:rsidR="002F4115" w:rsidRDefault="002F4115" w:rsidP="008B3113">
      <w:pPr>
        <w:spacing w:after="0" w:line="240" w:lineRule="auto"/>
      </w:pPr>
      <w:r>
        <w:continuationSeparator/>
      </w:r>
    </w:p>
  </w:endnote>
  <w:endnote w:id="1">
    <w:p w14:paraId="30AAF5FA" w14:textId="1B5D88AE" w:rsidR="00F13DD6" w:rsidRDefault="00F13DD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B3113">
        <w:rPr>
          <w:i/>
          <w:iCs/>
        </w:rPr>
        <w:t xml:space="preserve">See </w:t>
      </w:r>
      <w:r w:rsidRPr="008B3113">
        <w:rPr>
          <w:rFonts w:eastAsia="Arial"/>
          <w:i/>
          <w:iCs/>
          <w:color w:val="000000"/>
          <w:spacing w:val="-3"/>
        </w:rPr>
        <w:t>People</w:t>
      </w:r>
      <w:r w:rsidRPr="00F46842">
        <w:rPr>
          <w:rFonts w:eastAsia="Arial"/>
          <w:i/>
          <w:iCs/>
          <w:color w:val="000000"/>
          <w:spacing w:val="-3"/>
        </w:rPr>
        <w:t xml:space="preserve"> v Baez,</w:t>
      </w:r>
      <w:r w:rsidRPr="00F46842">
        <w:rPr>
          <w:rFonts w:eastAsia="Arial"/>
          <w:color w:val="000000"/>
          <w:spacing w:val="-3"/>
        </w:rPr>
        <w:t xml:space="preserve"> 2024 NY Slip Op 02225,  </w:t>
      </w:r>
      <w:r w:rsidRPr="00F46842">
        <w:rPr>
          <w:color w:val="000000"/>
        </w:rPr>
        <w:t xml:space="preserve">2024 WL 1773214 </w:t>
      </w:r>
      <w:r w:rsidRPr="00F46842">
        <w:rPr>
          <w:rFonts w:eastAsia="Arial"/>
          <w:color w:val="000000"/>
          <w:spacing w:val="-3"/>
        </w:rPr>
        <w:t>(2024).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F9CE" w14:textId="77777777" w:rsidR="002F4115" w:rsidRDefault="002F4115" w:rsidP="008B3113">
      <w:pPr>
        <w:spacing w:after="0" w:line="240" w:lineRule="auto"/>
      </w:pPr>
      <w:r>
        <w:separator/>
      </w:r>
    </w:p>
  </w:footnote>
  <w:footnote w:type="continuationSeparator" w:id="0">
    <w:p w14:paraId="0A2309E8" w14:textId="77777777" w:rsidR="002F4115" w:rsidRDefault="002F4115" w:rsidP="008B3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A34"/>
    <w:rsid w:val="00013E1B"/>
    <w:rsid w:val="000427F0"/>
    <w:rsid w:val="00045CD6"/>
    <w:rsid w:val="000A3733"/>
    <w:rsid w:val="00104E2F"/>
    <w:rsid w:val="00107997"/>
    <w:rsid w:val="0011269D"/>
    <w:rsid w:val="00151E3D"/>
    <w:rsid w:val="0015354D"/>
    <w:rsid w:val="00191932"/>
    <w:rsid w:val="00195032"/>
    <w:rsid w:val="001A7990"/>
    <w:rsid w:val="00201D3E"/>
    <w:rsid w:val="002055BD"/>
    <w:rsid w:val="0022525A"/>
    <w:rsid w:val="00236F82"/>
    <w:rsid w:val="00254815"/>
    <w:rsid w:val="00261BEB"/>
    <w:rsid w:val="00266748"/>
    <w:rsid w:val="00271926"/>
    <w:rsid w:val="002728CC"/>
    <w:rsid w:val="002A308A"/>
    <w:rsid w:val="002C2C81"/>
    <w:rsid w:val="002F4115"/>
    <w:rsid w:val="002F67F9"/>
    <w:rsid w:val="00300B45"/>
    <w:rsid w:val="003035A9"/>
    <w:rsid w:val="00305FB1"/>
    <w:rsid w:val="00313424"/>
    <w:rsid w:val="00333CE3"/>
    <w:rsid w:val="003357EC"/>
    <w:rsid w:val="00341C35"/>
    <w:rsid w:val="00364A34"/>
    <w:rsid w:val="00372E49"/>
    <w:rsid w:val="0037376A"/>
    <w:rsid w:val="00385A4B"/>
    <w:rsid w:val="00385C60"/>
    <w:rsid w:val="00394D76"/>
    <w:rsid w:val="003961DF"/>
    <w:rsid w:val="003A4F5F"/>
    <w:rsid w:val="003B64C1"/>
    <w:rsid w:val="003C29FA"/>
    <w:rsid w:val="003C6883"/>
    <w:rsid w:val="003F76BA"/>
    <w:rsid w:val="004022A7"/>
    <w:rsid w:val="00421561"/>
    <w:rsid w:val="00421FA3"/>
    <w:rsid w:val="00432AB0"/>
    <w:rsid w:val="00485D2F"/>
    <w:rsid w:val="004C2E1E"/>
    <w:rsid w:val="004D1A7A"/>
    <w:rsid w:val="004E7074"/>
    <w:rsid w:val="00570E4B"/>
    <w:rsid w:val="00595A88"/>
    <w:rsid w:val="005E38F6"/>
    <w:rsid w:val="00600669"/>
    <w:rsid w:val="00604093"/>
    <w:rsid w:val="006376F7"/>
    <w:rsid w:val="0064449E"/>
    <w:rsid w:val="00651402"/>
    <w:rsid w:val="00665B90"/>
    <w:rsid w:val="00676774"/>
    <w:rsid w:val="00690605"/>
    <w:rsid w:val="00690B3A"/>
    <w:rsid w:val="006945CF"/>
    <w:rsid w:val="006B7884"/>
    <w:rsid w:val="006C54AB"/>
    <w:rsid w:val="006D3D1C"/>
    <w:rsid w:val="006F6B73"/>
    <w:rsid w:val="00780811"/>
    <w:rsid w:val="00793024"/>
    <w:rsid w:val="00794764"/>
    <w:rsid w:val="007A1056"/>
    <w:rsid w:val="007B7602"/>
    <w:rsid w:val="007C04D1"/>
    <w:rsid w:val="007C6669"/>
    <w:rsid w:val="007C7A9E"/>
    <w:rsid w:val="007D55DA"/>
    <w:rsid w:val="007E2C57"/>
    <w:rsid w:val="007E7481"/>
    <w:rsid w:val="008906D7"/>
    <w:rsid w:val="008B3113"/>
    <w:rsid w:val="008B3114"/>
    <w:rsid w:val="008D1B63"/>
    <w:rsid w:val="008F4156"/>
    <w:rsid w:val="009117E4"/>
    <w:rsid w:val="009135AD"/>
    <w:rsid w:val="00961B39"/>
    <w:rsid w:val="00980EB3"/>
    <w:rsid w:val="009B1D28"/>
    <w:rsid w:val="009B5FA3"/>
    <w:rsid w:val="009C695A"/>
    <w:rsid w:val="009E6219"/>
    <w:rsid w:val="00A1432E"/>
    <w:rsid w:val="00A30110"/>
    <w:rsid w:val="00A55D92"/>
    <w:rsid w:val="00A56D37"/>
    <w:rsid w:val="00A60903"/>
    <w:rsid w:val="00A649A0"/>
    <w:rsid w:val="00A80709"/>
    <w:rsid w:val="00AD48FC"/>
    <w:rsid w:val="00AE19B6"/>
    <w:rsid w:val="00AF671E"/>
    <w:rsid w:val="00B56176"/>
    <w:rsid w:val="00B64CA4"/>
    <w:rsid w:val="00B64E2C"/>
    <w:rsid w:val="00B84A8B"/>
    <w:rsid w:val="00BA7DB3"/>
    <w:rsid w:val="00BC39EB"/>
    <w:rsid w:val="00C44128"/>
    <w:rsid w:val="00C6185F"/>
    <w:rsid w:val="00C846F2"/>
    <w:rsid w:val="00CC46D4"/>
    <w:rsid w:val="00D02ACF"/>
    <w:rsid w:val="00D131E9"/>
    <w:rsid w:val="00D16B99"/>
    <w:rsid w:val="00D21BC8"/>
    <w:rsid w:val="00D2309E"/>
    <w:rsid w:val="00D40025"/>
    <w:rsid w:val="00D53859"/>
    <w:rsid w:val="00D61C8F"/>
    <w:rsid w:val="00D730D2"/>
    <w:rsid w:val="00DA29A5"/>
    <w:rsid w:val="00DC4A55"/>
    <w:rsid w:val="00DF32C6"/>
    <w:rsid w:val="00E00255"/>
    <w:rsid w:val="00E14619"/>
    <w:rsid w:val="00E31DAF"/>
    <w:rsid w:val="00E35A37"/>
    <w:rsid w:val="00E434D9"/>
    <w:rsid w:val="00E95AE8"/>
    <w:rsid w:val="00E96B48"/>
    <w:rsid w:val="00E97CAC"/>
    <w:rsid w:val="00EA0A97"/>
    <w:rsid w:val="00EB57D2"/>
    <w:rsid w:val="00EC6E0E"/>
    <w:rsid w:val="00EF3008"/>
    <w:rsid w:val="00F002A8"/>
    <w:rsid w:val="00F13DD6"/>
    <w:rsid w:val="00F352F5"/>
    <w:rsid w:val="00F37061"/>
    <w:rsid w:val="00FE39A8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7DFE"/>
  <w15:chartTrackingRefBased/>
  <w15:docId w15:val="{06E8219D-D6BA-4B4C-A50B-729FFD8B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40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4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A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A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A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A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A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A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A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uiPriority w:val="99"/>
    <w:rsid w:val="006F6B73"/>
  </w:style>
  <w:style w:type="paragraph" w:styleId="Index1">
    <w:name w:val="index 1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/>
    </w:pPr>
    <w:rPr>
      <w:rFonts w:eastAsia="Times New Roman"/>
    </w:rPr>
  </w:style>
  <w:style w:type="paragraph" w:styleId="TOC1">
    <w:name w:val="toc 1"/>
    <w:basedOn w:val="NoSpacing"/>
    <w:next w:val="NoSpacing"/>
    <w:autoRedefine/>
    <w:uiPriority w:val="39"/>
    <w:qFormat/>
    <w:rsid w:val="0010799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eastAsia="Times New Roman" w:cs="Courier New"/>
      <w:szCs w:val="20"/>
    </w:rPr>
  </w:style>
  <w:style w:type="paragraph" w:styleId="TOC2">
    <w:name w:val="toc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3">
    <w:name w:val="toc 3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4">
    <w:name w:val="toc 4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5">
    <w:name w:val="toc 5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6">
    <w:name w:val="toc 6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7">
    <w:name w:val="toc 7"/>
    <w:basedOn w:val="Normal"/>
    <w:next w:val="Normal"/>
    <w:uiPriority w:val="99"/>
    <w:rsid w:val="006F6B73"/>
    <w:pPr>
      <w:suppressAutoHyphens/>
      <w:spacing w:line="240" w:lineRule="atLeast"/>
      <w:ind w:left="720" w:hanging="720"/>
    </w:pPr>
    <w:rPr>
      <w:rFonts w:eastAsia="Times New Roman"/>
    </w:rPr>
  </w:style>
  <w:style w:type="paragraph" w:styleId="TOC8">
    <w:name w:val="toc 8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9">
    <w:name w:val="toc 9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6F6B73"/>
    <w:rPr>
      <w:rFonts w:eastAsia="Times New Roman"/>
    </w:rPr>
  </w:style>
  <w:style w:type="character" w:customStyle="1" w:styleId="FootnoteTextChar">
    <w:name w:val="Footnote Text Char"/>
    <w:link w:val="Foot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F6B73"/>
    <w:rPr>
      <w:rFonts w:eastAsia="Times New Roman"/>
    </w:rPr>
  </w:style>
  <w:style w:type="character" w:styleId="FootnoteReference">
    <w:name w:val="footnote reference"/>
    <w:uiPriority w:val="99"/>
    <w:rsid w:val="006F6B73"/>
    <w:rPr>
      <w:vertAlign w:val="superscript"/>
    </w:rPr>
  </w:style>
  <w:style w:type="character" w:styleId="EndnoteReference">
    <w:name w:val="endnote reference"/>
    <w:uiPriority w:val="99"/>
    <w:rsid w:val="006F6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6F6B73"/>
    <w:rPr>
      <w:rFonts w:eastAsia="Times New Roman"/>
    </w:rPr>
  </w:style>
  <w:style w:type="character" w:customStyle="1" w:styleId="EndnoteTextChar">
    <w:name w:val="Endnote Text Char"/>
    <w:link w:val="End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TOAHeading">
    <w:name w:val="toa heading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</w:pPr>
    <w:rPr>
      <w:rFonts w:eastAsia="Times New Roman"/>
    </w:rPr>
  </w:style>
  <w:style w:type="paragraph" w:styleId="NoSpacing">
    <w:name w:val="No Spacing"/>
    <w:uiPriority w:val="1"/>
    <w:qFormat/>
    <w:rsid w:val="00107997"/>
  </w:style>
  <w:style w:type="character" w:customStyle="1" w:styleId="Heading1Char">
    <w:name w:val="Heading 1 Char"/>
    <w:basedOn w:val="DefaultParagraphFont"/>
    <w:link w:val="Heading1"/>
    <w:uiPriority w:val="9"/>
    <w:rsid w:val="00364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A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A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A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A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A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A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A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A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A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A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0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289A-C83F-4C1D-87DD-AB4E34E4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276</Words>
  <Characters>1524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Donnino</dc:creator>
  <cp:keywords/>
  <dc:description/>
  <cp:lastModifiedBy>Bill Donnino</cp:lastModifiedBy>
  <cp:revision>88</cp:revision>
  <cp:lastPrinted>2024-09-20T15:18:00Z</cp:lastPrinted>
  <dcterms:created xsi:type="dcterms:W3CDTF">2024-04-27T19:34:00Z</dcterms:created>
  <dcterms:modified xsi:type="dcterms:W3CDTF">2024-09-20T15:18:00Z</dcterms:modified>
</cp:coreProperties>
</file>