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61260" w14:textId="77777777" w:rsidR="00374A31" w:rsidRDefault="001F79B6">
      <w:pPr>
        <w:spacing w:before="6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ADVERSE INFERENCE: </w:t>
      </w:r>
      <w:r>
        <w:rPr>
          <w:rFonts w:ascii="Arial" w:eastAsia="Arial" w:hAnsi="Arial"/>
          <w:b/>
          <w:color w:val="000000"/>
          <w:sz w:val="28"/>
        </w:rPr>
        <w:br/>
        <w:t>MISSING ROSARIO MATERIAL</w:t>
      </w:r>
    </w:p>
    <w:p w14:paraId="32E61261" w14:textId="77777777" w:rsidR="00374A31" w:rsidRPr="001F79B6" w:rsidRDefault="001F79B6">
      <w:pPr>
        <w:spacing w:before="638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8"/>
          <w:sz w:val="28"/>
          <w:szCs w:val="28"/>
        </w:rPr>
      </w:pPr>
      <w:r w:rsidRPr="001F79B6">
        <w:rPr>
          <w:rFonts w:ascii="Arial" w:eastAsia="Arial" w:hAnsi="Arial"/>
          <w:color w:val="000000"/>
          <w:spacing w:val="-8"/>
          <w:sz w:val="28"/>
          <w:szCs w:val="28"/>
        </w:rPr>
        <w:t>Under our law, the People are required to have made available to a defendant any written [or recorded] statement made by a person whom the prosecutor intends to call as a witness at trial, which relates to the subject matter of the witness’s testimony, and</w:t>
      </w:r>
      <w:r w:rsidRPr="001F79B6">
        <w:rPr>
          <w:rFonts w:ascii="Arial" w:eastAsia="Arial" w:hAnsi="Arial"/>
          <w:color w:val="000000"/>
          <w:spacing w:val="-8"/>
          <w:sz w:val="28"/>
          <w:szCs w:val="28"/>
        </w:rPr>
        <w:t xml:space="preserve"> which was in the possession of the prosecutor or police.</w:t>
      </w:r>
      <w:r w:rsidRPr="001F79B6">
        <w:rPr>
          <w:rFonts w:ascii="Arial" w:eastAsia="Arial" w:hAnsi="Arial"/>
          <w:color w:val="000000"/>
          <w:spacing w:val="-8"/>
          <w:sz w:val="28"/>
          <w:szCs w:val="28"/>
          <w:vertAlign w:val="superscript"/>
        </w:rPr>
        <w:t>1</w:t>
      </w:r>
      <w:r w:rsidRPr="001F79B6">
        <w:rPr>
          <w:rFonts w:ascii="Arial" w:eastAsia="Arial" w:hAnsi="Arial"/>
          <w:color w:val="000000"/>
          <w:spacing w:val="-8"/>
          <w:sz w:val="28"/>
          <w:szCs w:val="28"/>
        </w:rPr>
        <w:t xml:space="preserve"> </w:t>
      </w:r>
    </w:p>
    <w:p w14:paraId="32E61262" w14:textId="77777777" w:rsidR="00374A31" w:rsidRPr="001F79B6" w:rsidRDefault="001F79B6">
      <w:pPr>
        <w:spacing w:before="337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7"/>
          <w:sz w:val="28"/>
          <w:szCs w:val="28"/>
        </w:rPr>
      </w:pPr>
      <w:r w:rsidRPr="001F79B6">
        <w:rPr>
          <w:rFonts w:ascii="Arial" w:eastAsia="Arial" w:hAnsi="Arial"/>
          <w:color w:val="000000"/>
          <w:spacing w:val="-7"/>
          <w:sz w:val="28"/>
          <w:szCs w:val="28"/>
        </w:rPr>
        <w:t xml:space="preserve">In this case, </w:t>
      </w:r>
      <w:r w:rsidRPr="001F79B6">
        <w:rPr>
          <w:rFonts w:ascii="Arial" w:eastAsia="Arial" w:hAnsi="Arial"/>
          <w:color w:val="000000"/>
          <w:spacing w:val="-7"/>
          <w:sz w:val="28"/>
          <w:szCs w:val="28"/>
          <w:u w:val="single"/>
        </w:rPr>
        <w:t>(</w:t>
      </w:r>
      <w:r w:rsidRPr="001F79B6">
        <w:rPr>
          <w:rFonts w:ascii="Arial" w:eastAsia="Arial" w:hAnsi="Arial"/>
          <w:i/>
          <w:color w:val="000000"/>
          <w:spacing w:val="-7"/>
          <w:sz w:val="28"/>
          <w:szCs w:val="28"/>
          <w:u w:val="single"/>
        </w:rPr>
        <w:t>specify writing or recording</w:t>
      </w:r>
      <w:r w:rsidRPr="001F79B6">
        <w:rPr>
          <w:rFonts w:ascii="Arial" w:eastAsia="Arial" w:hAnsi="Arial"/>
          <w:color w:val="000000"/>
          <w:spacing w:val="-7"/>
          <w:sz w:val="28"/>
          <w:szCs w:val="28"/>
          <w:u w:val="single"/>
        </w:rPr>
        <w:t>)</w:t>
      </w:r>
      <w:r w:rsidRPr="001F79B6">
        <w:rPr>
          <w:rFonts w:ascii="Arial" w:eastAsia="Arial" w:hAnsi="Arial"/>
          <w:color w:val="000000"/>
          <w:spacing w:val="-7"/>
          <w:sz w:val="28"/>
          <w:szCs w:val="28"/>
        </w:rPr>
        <w:t xml:space="preserve"> contained a statement of </w:t>
      </w:r>
      <w:r w:rsidRPr="001F79B6">
        <w:rPr>
          <w:rFonts w:ascii="Arial" w:eastAsia="Arial" w:hAnsi="Arial"/>
          <w:i/>
          <w:color w:val="000000"/>
          <w:spacing w:val="-7"/>
          <w:sz w:val="28"/>
          <w:szCs w:val="28"/>
          <w:u w:val="single"/>
        </w:rPr>
        <w:t>(specify name of witness</w:t>
      </w:r>
      <w:r w:rsidRPr="001F79B6">
        <w:rPr>
          <w:rFonts w:ascii="Arial" w:eastAsia="Arial" w:hAnsi="Arial"/>
          <w:color w:val="000000"/>
          <w:spacing w:val="-7"/>
          <w:sz w:val="28"/>
          <w:szCs w:val="28"/>
          <w:u w:val="single"/>
        </w:rPr>
        <w:t>)</w:t>
      </w:r>
      <w:r w:rsidRPr="001F79B6">
        <w:rPr>
          <w:rFonts w:ascii="Arial" w:eastAsia="Arial" w:hAnsi="Arial"/>
          <w:color w:val="000000"/>
          <w:spacing w:val="-7"/>
          <w:sz w:val="28"/>
          <w:szCs w:val="28"/>
        </w:rPr>
        <w:t xml:space="preserve"> and that writing [recording] was in the possession of the [prosecutor][police] and was not provided to the defense, as required by law [because </w:t>
      </w:r>
      <w:r w:rsidRPr="001F79B6">
        <w:rPr>
          <w:rFonts w:ascii="Arial" w:eastAsia="Arial" w:hAnsi="Arial"/>
          <w:color w:val="000000"/>
          <w:spacing w:val="-7"/>
          <w:sz w:val="28"/>
          <w:szCs w:val="28"/>
          <w:u w:val="single"/>
        </w:rPr>
        <w:t>(</w:t>
      </w:r>
      <w:r w:rsidRPr="001F79B6">
        <w:rPr>
          <w:rFonts w:ascii="Arial" w:eastAsia="Arial" w:hAnsi="Arial"/>
          <w:i/>
          <w:color w:val="000000"/>
          <w:spacing w:val="-7"/>
          <w:sz w:val="28"/>
          <w:szCs w:val="28"/>
          <w:u w:val="single"/>
        </w:rPr>
        <w:t>specify if in evidence</w:t>
      </w:r>
      <w:r w:rsidRPr="001F79B6">
        <w:rPr>
          <w:rFonts w:ascii="Arial" w:eastAsia="Arial" w:hAnsi="Arial"/>
          <w:color w:val="000000"/>
          <w:spacing w:val="-7"/>
          <w:sz w:val="28"/>
          <w:szCs w:val="28"/>
          <w:u w:val="single"/>
        </w:rPr>
        <w:t>)].</w:t>
      </w:r>
    </w:p>
    <w:p w14:paraId="32E61263" w14:textId="77777777" w:rsidR="00374A31" w:rsidRPr="001F79B6" w:rsidRDefault="001F79B6">
      <w:pPr>
        <w:spacing w:before="318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10"/>
          <w:sz w:val="28"/>
          <w:szCs w:val="28"/>
        </w:rPr>
      </w:pPr>
      <w:r w:rsidRPr="001F79B6">
        <w:rPr>
          <w:rFonts w:ascii="Arial" w:eastAsia="Arial" w:hAnsi="Arial"/>
          <w:color w:val="000000"/>
          <w:spacing w:val="-10"/>
          <w:sz w:val="28"/>
          <w:szCs w:val="28"/>
        </w:rPr>
        <w:t xml:space="preserve">In the absence of </w:t>
      </w:r>
      <w:r w:rsidRPr="001F79B6">
        <w:rPr>
          <w:rFonts w:ascii="Arial" w:eastAsia="Arial" w:hAnsi="Arial"/>
          <w:color w:val="000000"/>
          <w:spacing w:val="-10"/>
          <w:sz w:val="28"/>
          <w:szCs w:val="28"/>
          <w:u w:val="single"/>
        </w:rPr>
        <w:t>(</w:t>
      </w:r>
      <w:r w:rsidRPr="001F79B6">
        <w:rPr>
          <w:rFonts w:ascii="Arial" w:eastAsia="Arial" w:hAnsi="Arial"/>
          <w:i/>
          <w:color w:val="000000"/>
          <w:spacing w:val="-10"/>
          <w:sz w:val="28"/>
          <w:szCs w:val="28"/>
          <w:u w:val="single"/>
        </w:rPr>
        <w:t>s</w:t>
      </w:r>
      <w:bookmarkStart w:id="0" w:name="_GoBack"/>
      <w:bookmarkEnd w:id="0"/>
      <w:r w:rsidRPr="001F79B6">
        <w:rPr>
          <w:rFonts w:ascii="Arial" w:eastAsia="Arial" w:hAnsi="Arial"/>
          <w:i/>
          <w:color w:val="000000"/>
          <w:spacing w:val="-10"/>
          <w:sz w:val="28"/>
          <w:szCs w:val="28"/>
          <w:u w:val="single"/>
        </w:rPr>
        <w:t>pecify writing or recording</w:t>
      </w:r>
      <w:r w:rsidRPr="001F79B6">
        <w:rPr>
          <w:rFonts w:ascii="Arial" w:eastAsia="Arial" w:hAnsi="Arial"/>
          <w:color w:val="000000"/>
          <w:spacing w:val="-10"/>
          <w:sz w:val="28"/>
          <w:szCs w:val="28"/>
          <w:u w:val="single"/>
        </w:rPr>
        <w:t>)</w:t>
      </w:r>
      <w:r w:rsidRPr="001F79B6">
        <w:rPr>
          <w:rFonts w:ascii="Arial" w:eastAsia="Arial" w:hAnsi="Arial"/>
          <w:color w:val="000000"/>
          <w:spacing w:val="-10"/>
          <w:sz w:val="28"/>
          <w:szCs w:val="28"/>
        </w:rPr>
        <w:t xml:space="preserve"> you may, but are not required to, i</w:t>
      </w:r>
      <w:r w:rsidRPr="001F79B6">
        <w:rPr>
          <w:rFonts w:ascii="Arial" w:eastAsia="Arial" w:hAnsi="Arial"/>
          <w:color w:val="000000"/>
          <w:spacing w:val="-10"/>
          <w:sz w:val="28"/>
          <w:szCs w:val="28"/>
        </w:rPr>
        <w:t xml:space="preserve">nfer that it contained one or more statements of </w:t>
      </w:r>
      <w:r w:rsidRPr="001F79B6">
        <w:rPr>
          <w:rFonts w:ascii="Arial" w:eastAsia="Arial" w:hAnsi="Arial"/>
          <w:color w:val="000000"/>
          <w:spacing w:val="-10"/>
          <w:sz w:val="28"/>
          <w:szCs w:val="28"/>
          <w:u w:val="single"/>
        </w:rPr>
        <w:t>(</w:t>
      </w:r>
      <w:r w:rsidRPr="001F79B6">
        <w:rPr>
          <w:rFonts w:ascii="Arial" w:eastAsia="Arial" w:hAnsi="Arial"/>
          <w:i/>
          <w:color w:val="000000"/>
          <w:spacing w:val="-10"/>
          <w:sz w:val="28"/>
          <w:szCs w:val="28"/>
          <w:u w:val="single"/>
        </w:rPr>
        <w:t>specify name of witness</w:t>
      </w:r>
      <w:r w:rsidRPr="001F79B6">
        <w:rPr>
          <w:rFonts w:ascii="Arial" w:eastAsia="Arial" w:hAnsi="Arial"/>
          <w:color w:val="000000"/>
          <w:spacing w:val="-10"/>
          <w:sz w:val="28"/>
          <w:szCs w:val="28"/>
          <w:u w:val="single"/>
        </w:rPr>
        <w:t>)</w:t>
      </w:r>
      <w:r w:rsidRPr="001F79B6">
        <w:rPr>
          <w:rFonts w:ascii="Arial" w:eastAsia="Arial" w:hAnsi="Arial"/>
          <w:color w:val="000000"/>
          <w:spacing w:val="-10"/>
          <w:sz w:val="28"/>
          <w:szCs w:val="28"/>
        </w:rPr>
        <w:t xml:space="preserve"> which are not consistent with his/her trial testimony.</w:t>
      </w:r>
      <w:r w:rsidRPr="001F79B6">
        <w:rPr>
          <w:rFonts w:ascii="Arial" w:eastAsia="Arial" w:hAnsi="Arial"/>
          <w:color w:val="000000"/>
          <w:spacing w:val="-10"/>
          <w:sz w:val="28"/>
          <w:szCs w:val="28"/>
          <w:vertAlign w:val="superscript"/>
        </w:rPr>
        <w:t>2</w:t>
      </w:r>
      <w:r w:rsidRPr="001F79B6">
        <w:rPr>
          <w:rFonts w:ascii="Arial" w:eastAsia="Arial" w:hAnsi="Arial"/>
          <w:color w:val="000000"/>
          <w:spacing w:val="-10"/>
          <w:sz w:val="28"/>
          <w:szCs w:val="28"/>
        </w:rPr>
        <w:t xml:space="preserve"> </w:t>
      </w:r>
    </w:p>
    <w:p w14:paraId="32E61264" w14:textId="77777777" w:rsidR="00374A31" w:rsidRPr="001F79B6" w:rsidRDefault="001F79B6">
      <w:pPr>
        <w:numPr>
          <w:ilvl w:val="0"/>
          <w:numId w:val="1"/>
        </w:numPr>
        <w:spacing w:before="1371" w:line="288" w:lineRule="exact"/>
        <w:jc w:val="both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1F79B6">
        <w:rPr>
          <w:rFonts w:ascii="Arial" w:eastAsia="Arial" w:hAnsi="Arial"/>
          <w:color w:val="000000"/>
          <w:sz w:val="24"/>
          <w:szCs w:val="24"/>
        </w:rPr>
        <w:t xml:space="preserve">CPL 240.45(1)(a). </w:t>
      </w:r>
      <w:r w:rsidRPr="001F79B6">
        <w:rPr>
          <w:rFonts w:ascii="Arial" w:eastAsia="Arial" w:hAnsi="Arial"/>
          <w:i/>
          <w:color w:val="000000"/>
          <w:sz w:val="24"/>
          <w:szCs w:val="24"/>
        </w:rPr>
        <w:t>See People v Rosario</w:t>
      </w:r>
      <w:r w:rsidRPr="001F79B6">
        <w:rPr>
          <w:rFonts w:ascii="Arial" w:eastAsia="Arial" w:hAnsi="Arial"/>
          <w:color w:val="000000"/>
          <w:sz w:val="24"/>
          <w:szCs w:val="24"/>
        </w:rPr>
        <w:t xml:space="preserve">, 9 NY2d 286 (1961); </w:t>
      </w:r>
      <w:r w:rsidRPr="001F79B6">
        <w:rPr>
          <w:rFonts w:ascii="Arial" w:eastAsia="Arial" w:hAnsi="Arial"/>
          <w:i/>
          <w:color w:val="000000"/>
          <w:sz w:val="24"/>
          <w:szCs w:val="24"/>
        </w:rPr>
        <w:t>People v Perez</w:t>
      </w:r>
      <w:r w:rsidRPr="001F79B6">
        <w:rPr>
          <w:rFonts w:ascii="Arial" w:eastAsia="Arial" w:hAnsi="Arial"/>
          <w:color w:val="000000"/>
          <w:sz w:val="24"/>
          <w:szCs w:val="24"/>
        </w:rPr>
        <w:t xml:space="preserve">, 65 NY2d 154 (1985); </w:t>
      </w:r>
      <w:r w:rsidRPr="001F79B6">
        <w:rPr>
          <w:rFonts w:ascii="Arial" w:eastAsia="Arial" w:hAnsi="Arial"/>
          <w:i/>
          <w:color w:val="000000"/>
          <w:sz w:val="24"/>
          <w:szCs w:val="24"/>
        </w:rPr>
        <w:t xml:space="preserve">People v </w:t>
      </w:r>
      <w:proofErr w:type="spellStart"/>
      <w:r w:rsidRPr="001F79B6">
        <w:rPr>
          <w:rFonts w:ascii="Arial" w:eastAsia="Arial" w:hAnsi="Arial"/>
          <w:i/>
          <w:color w:val="000000"/>
          <w:sz w:val="24"/>
          <w:szCs w:val="24"/>
        </w:rPr>
        <w:t>Ranghelle</w:t>
      </w:r>
      <w:proofErr w:type="spellEnd"/>
      <w:r w:rsidRPr="001F79B6">
        <w:rPr>
          <w:rFonts w:ascii="Arial" w:eastAsia="Arial" w:hAnsi="Arial"/>
          <w:color w:val="000000"/>
          <w:sz w:val="24"/>
          <w:szCs w:val="24"/>
        </w:rPr>
        <w:t>, 69 NY2d 56 (1986).</w:t>
      </w:r>
    </w:p>
    <w:p w14:paraId="32E61265" w14:textId="77777777" w:rsidR="00374A31" w:rsidRPr="001F79B6" w:rsidRDefault="001F79B6">
      <w:pPr>
        <w:numPr>
          <w:ilvl w:val="0"/>
          <w:numId w:val="1"/>
        </w:numPr>
        <w:spacing w:before="255" w:line="302" w:lineRule="exact"/>
        <w:jc w:val="both"/>
        <w:textAlignment w:val="baseline"/>
        <w:rPr>
          <w:rFonts w:ascii="Arial" w:eastAsia="Arial" w:hAnsi="Arial"/>
          <w:i/>
          <w:color w:val="000000"/>
          <w:sz w:val="24"/>
          <w:szCs w:val="24"/>
        </w:rPr>
      </w:pPr>
      <w:r w:rsidRPr="001F79B6">
        <w:rPr>
          <w:rFonts w:ascii="Arial" w:eastAsia="Arial" w:hAnsi="Arial"/>
          <w:i/>
          <w:color w:val="000000"/>
          <w:sz w:val="24"/>
          <w:szCs w:val="24"/>
        </w:rPr>
        <w:t>See People v Martinez</w:t>
      </w:r>
      <w:r w:rsidRPr="001F79B6">
        <w:rPr>
          <w:rFonts w:ascii="Arial" w:eastAsia="Arial" w:hAnsi="Arial"/>
          <w:color w:val="000000"/>
          <w:sz w:val="24"/>
          <w:szCs w:val="24"/>
        </w:rPr>
        <w:t xml:space="preserve">, 71 NY2d 937 (1988); </w:t>
      </w:r>
      <w:r w:rsidRPr="001F79B6">
        <w:rPr>
          <w:rFonts w:ascii="Arial" w:eastAsia="Arial" w:hAnsi="Arial"/>
          <w:i/>
          <w:color w:val="000000"/>
          <w:sz w:val="24"/>
          <w:szCs w:val="24"/>
        </w:rPr>
        <w:t>People v Wallace</w:t>
      </w:r>
      <w:r w:rsidRPr="001F79B6">
        <w:rPr>
          <w:rFonts w:ascii="Arial" w:eastAsia="Arial" w:hAnsi="Arial"/>
          <w:color w:val="000000"/>
          <w:sz w:val="24"/>
          <w:szCs w:val="24"/>
        </w:rPr>
        <w:t xml:space="preserve">, 76 NY2d 953 (1990). </w:t>
      </w:r>
      <w:r w:rsidRPr="001F79B6">
        <w:rPr>
          <w:rFonts w:ascii="Arial" w:eastAsia="Arial" w:hAnsi="Arial"/>
          <w:i/>
          <w:color w:val="000000"/>
          <w:sz w:val="24"/>
          <w:szCs w:val="24"/>
        </w:rPr>
        <w:t>People v. Joseph</w:t>
      </w:r>
      <w:r w:rsidRPr="001F79B6">
        <w:rPr>
          <w:rFonts w:ascii="Arial" w:eastAsia="Arial" w:hAnsi="Arial"/>
          <w:color w:val="000000"/>
          <w:sz w:val="24"/>
          <w:szCs w:val="24"/>
        </w:rPr>
        <w:t>, 86 NY2d 565 (1995).</w:t>
      </w:r>
    </w:p>
    <w:sectPr w:rsidR="00374A31" w:rsidRPr="001F79B6">
      <w:pgSz w:w="12240" w:h="15840"/>
      <w:pgMar w:top="720" w:right="2120" w:bottom="5084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3FC5"/>
    <w:multiLevelType w:val="multilevel"/>
    <w:tmpl w:val="67B64F3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A31"/>
    <w:rsid w:val="001F79B6"/>
    <w:rsid w:val="003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1260"/>
  <w15:docId w15:val="{75E7723F-3AF0-4292-BBCB-A6C90F5B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2017-12-28T20:10:00Z</dcterms:created>
  <dcterms:modified xsi:type="dcterms:W3CDTF">2017-12-28T20:11:00Z</dcterms:modified>
</cp:coreProperties>
</file>