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2C39" w14:textId="5515405C" w:rsidR="008E25C0" w:rsidRPr="00DA1300" w:rsidRDefault="00B6018D" w:rsidP="00B6018D">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DA1300">
        <w:rPr>
          <w:b/>
          <w:bCs/>
          <w:sz w:val="28"/>
          <w:szCs w:val="28"/>
          <w:lang w:val="en-CA"/>
        </w:rPr>
        <w:t xml:space="preserve">8.31 </w:t>
      </w:r>
      <w:r w:rsidR="008E25C0" w:rsidRPr="00DA1300">
        <w:rPr>
          <w:sz w:val="28"/>
          <w:szCs w:val="28"/>
          <w:lang w:val="en-CA"/>
        </w:rPr>
        <w:fldChar w:fldCharType="begin"/>
      </w:r>
      <w:r w:rsidR="008E25C0" w:rsidRPr="00DA1300">
        <w:rPr>
          <w:sz w:val="28"/>
          <w:szCs w:val="28"/>
          <w:lang w:val="en-CA"/>
        </w:rPr>
        <w:instrText xml:space="preserve"> SEQ CHAPTER \h \r 1</w:instrText>
      </w:r>
      <w:r w:rsidR="008E25C0" w:rsidRPr="00DA1300">
        <w:rPr>
          <w:sz w:val="28"/>
          <w:szCs w:val="28"/>
          <w:lang w:val="en-CA"/>
        </w:rPr>
        <w:fldChar w:fldCharType="end"/>
      </w:r>
      <w:r w:rsidR="008E25C0" w:rsidRPr="00DA1300">
        <w:rPr>
          <w:b/>
          <w:bCs/>
          <w:sz w:val="28"/>
          <w:szCs w:val="28"/>
        </w:rPr>
        <w:t>Prior Consistent Statemen</w:t>
      </w:r>
      <w:r w:rsidR="00221757" w:rsidRPr="00DA1300">
        <w:rPr>
          <w:b/>
          <w:bCs/>
          <w:sz w:val="28"/>
          <w:szCs w:val="28"/>
        </w:rPr>
        <w:t>t</w:t>
      </w:r>
      <w:r w:rsidR="00C102D0" w:rsidRPr="00DA1300">
        <w:rPr>
          <w:rStyle w:val="EndnoteReference"/>
          <w:b/>
          <w:bCs/>
          <w:sz w:val="28"/>
          <w:szCs w:val="28"/>
        </w:rPr>
        <w:endnoteReference w:id="1"/>
      </w:r>
    </w:p>
    <w:p w14:paraId="2A68A91A" w14:textId="77777777" w:rsidR="00221757" w:rsidRPr="00DA1300" w:rsidRDefault="00221757" w:rsidP="005510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363772C5" w14:textId="7F373BCC" w:rsidR="00DE1C58" w:rsidRPr="00DA1300" w:rsidRDefault="00B6018D" w:rsidP="00B6018D">
      <w:pPr>
        <w:pStyle w:val="ListParagraph"/>
        <w:widowControl/>
        <w:tabs>
          <w:tab w:val="left" w:pos="720"/>
          <w:tab w:val="left" w:pos="1440"/>
          <w:tab w:val="left" w:pos="2160"/>
          <w:tab w:val="left" w:pos="2880"/>
          <w:tab w:val="left" w:pos="3600"/>
          <w:tab w:val="left" w:pos="4320"/>
          <w:tab w:val="left" w:pos="5040"/>
          <w:tab w:val="left" w:pos="5760"/>
          <w:tab w:val="left" w:pos="6480"/>
        </w:tabs>
        <w:ind w:right="720"/>
        <w:jc w:val="both"/>
        <w:rPr>
          <w:b/>
          <w:bCs/>
          <w:sz w:val="28"/>
          <w:szCs w:val="28"/>
        </w:rPr>
      </w:pPr>
      <w:r w:rsidRPr="00DA1300">
        <w:rPr>
          <w:b/>
          <w:bCs/>
          <w:sz w:val="28"/>
          <w:szCs w:val="28"/>
        </w:rPr>
        <w:t xml:space="preserve">(1) </w:t>
      </w:r>
      <w:r w:rsidR="00AB0099" w:rsidRPr="00DA1300">
        <w:rPr>
          <w:b/>
          <w:bCs/>
          <w:sz w:val="28"/>
          <w:szCs w:val="28"/>
        </w:rPr>
        <w:t xml:space="preserve">Except as </w:t>
      </w:r>
      <w:r w:rsidR="00C90C70" w:rsidRPr="00DA1300">
        <w:rPr>
          <w:b/>
          <w:bCs/>
          <w:sz w:val="28"/>
          <w:szCs w:val="28"/>
        </w:rPr>
        <w:t xml:space="preserve">otherwise </w:t>
      </w:r>
      <w:r w:rsidR="00AB0099" w:rsidRPr="00DA1300">
        <w:rPr>
          <w:b/>
          <w:bCs/>
          <w:sz w:val="28"/>
          <w:szCs w:val="28"/>
        </w:rPr>
        <w:t>provided in this rule</w:t>
      </w:r>
      <w:r w:rsidR="00490949" w:rsidRPr="00DA1300">
        <w:rPr>
          <w:b/>
          <w:bCs/>
          <w:sz w:val="28"/>
          <w:szCs w:val="28"/>
        </w:rPr>
        <w:t>,</w:t>
      </w:r>
      <w:r w:rsidR="00AB0099" w:rsidRPr="00DA1300">
        <w:rPr>
          <w:b/>
          <w:bCs/>
          <w:sz w:val="28"/>
          <w:szCs w:val="28"/>
        </w:rPr>
        <w:t xml:space="preserve"> a prior statement of a testifying witness </w:t>
      </w:r>
      <w:r w:rsidR="0039723E" w:rsidRPr="00DA1300">
        <w:rPr>
          <w:b/>
          <w:bCs/>
          <w:sz w:val="28"/>
          <w:szCs w:val="28"/>
        </w:rPr>
        <w:t>that</w:t>
      </w:r>
      <w:r w:rsidR="0017308A" w:rsidRPr="00DA1300">
        <w:rPr>
          <w:b/>
          <w:bCs/>
          <w:sz w:val="28"/>
          <w:szCs w:val="28"/>
        </w:rPr>
        <w:t xml:space="preserve"> is </w:t>
      </w:r>
      <w:r w:rsidR="00AB0099" w:rsidRPr="00DA1300">
        <w:rPr>
          <w:b/>
          <w:bCs/>
          <w:sz w:val="28"/>
          <w:szCs w:val="28"/>
        </w:rPr>
        <w:t xml:space="preserve">consistent with the witness’s testimony is </w:t>
      </w:r>
      <w:r w:rsidR="005B2F2B" w:rsidRPr="00DA1300">
        <w:rPr>
          <w:b/>
          <w:bCs/>
          <w:sz w:val="28"/>
          <w:szCs w:val="28"/>
        </w:rPr>
        <w:t xml:space="preserve">not </w:t>
      </w:r>
      <w:r w:rsidR="00AB0099" w:rsidRPr="00DA1300">
        <w:rPr>
          <w:b/>
          <w:bCs/>
          <w:sz w:val="28"/>
          <w:szCs w:val="28"/>
        </w:rPr>
        <w:t>admissible</w:t>
      </w:r>
      <w:r w:rsidR="005B2F2B" w:rsidRPr="00DA1300">
        <w:rPr>
          <w:b/>
          <w:bCs/>
          <w:sz w:val="28"/>
          <w:szCs w:val="28"/>
        </w:rPr>
        <w:t xml:space="preserve"> in evidence</w:t>
      </w:r>
      <w:r w:rsidR="00AB0099" w:rsidRPr="00DA1300">
        <w:rPr>
          <w:b/>
          <w:bCs/>
          <w:sz w:val="28"/>
          <w:szCs w:val="28"/>
        </w:rPr>
        <w:t>.</w:t>
      </w:r>
    </w:p>
    <w:p w14:paraId="4F848C86" w14:textId="77777777" w:rsidR="00DE1C58" w:rsidRPr="00DA1300" w:rsidRDefault="00DE1C58" w:rsidP="00B6018D">
      <w:pPr>
        <w:widowControl/>
        <w:tabs>
          <w:tab w:val="left" w:pos="720"/>
          <w:tab w:val="left" w:pos="1440"/>
          <w:tab w:val="left" w:pos="2160"/>
          <w:tab w:val="left" w:pos="2880"/>
          <w:tab w:val="left" w:pos="3600"/>
          <w:tab w:val="left" w:pos="4320"/>
          <w:tab w:val="left" w:pos="5040"/>
          <w:tab w:val="left" w:pos="5760"/>
          <w:tab w:val="left" w:pos="6480"/>
          <w:tab w:val="left" w:pos="7056"/>
        </w:tabs>
        <w:ind w:right="864"/>
        <w:jc w:val="both"/>
        <w:rPr>
          <w:b/>
          <w:bCs/>
          <w:sz w:val="28"/>
          <w:szCs w:val="28"/>
        </w:rPr>
      </w:pPr>
    </w:p>
    <w:p w14:paraId="1CEC44C6" w14:textId="5F43342F" w:rsidR="00892319" w:rsidRPr="00DA1300" w:rsidRDefault="00B6018D" w:rsidP="00B6018D">
      <w:pPr>
        <w:pStyle w:val="ListParagraph"/>
        <w:widowControl/>
        <w:tabs>
          <w:tab w:val="left" w:pos="720"/>
          <w:tab w:val="left" w:pos="1440"/>
          <w:tab w:val="left" w:pos="2160"/>
          <w:tab w:val="left" w:pos="2880"/>
          <w:tab w:val="left" w:pos="3600"/>
          <w:tab w:val="left" w:pos="4320"/>
          <w:tab w:val="left" w:pos="5040"/>
          <w:tab w:val="left" w:pos="5760"/>
          <w:tab w:val="left" w:pos="6480"/>
          <w:tab w:val="left" w:pos="7056"/>
        </w:tabs>
        <w:autoSpaceDE/>
        <w:autoSpaceDN/>
        <w:adjustRightInd/>
        <w:ind w:right="720"/>
        <w:jc w:val="both"/>
        <w:rPr>
          <w:b/>
          <w:bCs/>
          <w:sz w:val="28"/>
          <w:szCs w:val="28"/>
        </w:rPr>
      </w:pPr>
      <w:r w:rsidRPr="00DA1300">
        <w:rPr>
          <w:b/>
          <w:bCs/>
          <w:sz w:val="28"/>
          <w:szCs w:val="28"/>
        </w:rPr>
        <w:t xml:space="preserve">(2) </w:t>
      </w:r>
      <w:r w:rsidR="00D12157" w:rsidRPr="00DA1300">
        <w:rPr>
          <w:b/>
          <w:bCs/>
          <w:sz w:val="28"/>
          <w:szCs w:val="28"/>
        </w:rPr>
        <w:t xml:space="preserve">A statement of a witness made </w:t>
      </w:r>
      <w:r w:rsidR="0039723E" w:rsidRPr="00DA1300">
        <w:rPr>
          <w:b/>
          <w:bCs/>
          <w:sz w:val="28"/>
          <w:szCs w:val="28"/>
        </w:rPr>
        <w:t>before the witness’s testimony</w:t>
      </w:r>
      <w:r w:rsidR="004E0A6E" w:rsidRPr="00DA1300">
        <w:rPr>
          <w:b/>
          <w:bCs/>
          <w:sz w:val="28"/>
          <w:szCs w:val="28"/>
        </w:rPr>
        <w:t>,</w:t>
      </w:r>
      <w:r w:rsidR="00861F9F" w:rsidRPr="00DA1300">
        <w:rPr>
          <w:b/>
          <w:bCs/>
          <w:sz w:val="28"/>
          <w:szCs w:val="28"/>
        </w:rPr>
        <w:t xml:space="preserve"> at a time when there was no motive to fabricate</w:t>
      </w:r>
      <w:r w:rsidR="00793D3D" w:rsidRPr="00DA1300">
        <w:rPr>
          <w:b/>
          <w:bCs/>
          <w:sz w:val="28"/>
          <w:szCs w:val="28"/>
        </w:rPr>
        <w:t>,</w:t>
      </w:r>
      <w:r w:rsidR="00A07575" w:rsidRPr="00DA1300">
        <w:rPr>
          <w:b/>
          <w:bCs/>
          <w:sz w:val="28"/>
          <w:szCs w:val="28"/>
        </w:rPr>
        <w:t xml:space="preserve"> </w:t>
      </w:r>
      <w:r w:rsidR="00D12157" w:rsidRPr="00DA1300">
        <w:rPr>
          <w:b/>
          <w:bCs/>
          <w:sz w:val="28"/>
          <w:szCs w:val="28"/>
        </w:rPr>
        <w:t xml:space="preserve">and </w:t>
      </w:r>
      <w:r w:rsidR="00793D3D" w:rsidRPr="00DA1300">
        <w:rPr>
          <w:b/>
          <w:bCs/>
          <w:sz w:val="28"/>
          <w:szCs w:val="28"/>
        </w:rPr>
        <w:t xml:space="preserve">which is </w:t>
      </w:r>
      <w:r w:rsidR="00D12157" w:rsidRPr="00DA1300">
        <w:rPr>
          <w:b/>
          <w:bCs/>
          <w:sz w:val="28"/>
          <w:szCs w:val="28"/>
        </w:rPr>
        <w:t xml:space="preserve">consistent </w:t>
      </w:r>
      <w:r w:rsidR="007B5B98" w:rsidRPr="00DA1300">
        <w:rPr>
          <w:b/>
          <w:bCs/>
          <w:sz w:val="28"/>
          <w:szCs w:val="28"/>
        </w:rPr>
        <w:t>with that testimony</w:t>
      </w:r>
      <w:r w:rsidR="001A2EEF" w:rsidRPr="00DA1300">
        <w:rPr>
          <w:b/>
          <w:bCs/>
          <w:sz w:val="28"/>
          <w:szCs w:val="28"/>
        </w:rPr>
        <w:t>,</w:t>
      </w:r>
      <w:r w:rsidR="00D12157" w:rsidRPr="00DA1300">
        <w:rPr>
          <w:b/>
          <w:bCs/>
          <w:sz w:val="28"/>
          <w:szCs w:val="28"/>
        </w:rPr>
        <w:t xml:space="preserve"> is admissible </w:t>
      </w:r>
      <w:r w:rsidR="00C4534B" w:rsidRPr="00DA1300">
        <w:rPr>
          <w:b/>
          <w:bCs/>
          <w:sz w:val="28"/>
          <w:szCs w:val="28"/>
        </w:rPr>
        <w:t>to aid in establishing the witness’s credibility</w:t>
      </w:r>
      <w:r w:rsidR="00D74D94" w:rsidRPr="00DA1300">
        <w:rPr>
          <w:b/>
          <w:bCs/>
          <w:sz w:val="28"/>
          <w:szCs w:val="28"/>
        </w:rPr>
        <w:t xml:space="preserve"> w</w:t>
      </w:r>
      <w:r w:rsidR="00A73FA2" w:rsidRPr="00DA1300">
        <w:rPr>
          <w:b/>
          <w:bCs/>
          <w:sz w:val="28"/>
          <w:szCs w:val="28"/>
        </w:rPr>
        <w:t xml:space="preserve">hen a party creates the inference of, or directly characterizes the testimony of </w:t>
      </w:r>
      <w:r w:rsidR="0016460A" w:rsidRPr="00DA1300">
        <w:rPr>
          <w:b/>
          <w:bCs/>
          <w:sz w:val="28"/>
          <w:szCs w:val="28"/>
        </w:rPr>
        <w:t>the</w:t>
      </w:r>
      <w:r w:rsidR="00A73FA2" w:rsidRPr="00DA1300">
        <w:rPr>
          <w:b/>
          <w:bCs/>
          <w:sz w:val="28"/>
          <w:szCs w:val="28"/>
        </w:rPr>
        <w:t xml:space="preserve"> witness as a recent fabrication</w:t>
      </w:r>
      <w:r w:rsidR="00240FE1" w:rsidRPr="00DA1300">
        <w:rPr>
          <w:b/>
          <w:bCs/>
          <w:sz w:val="28"/>
          <w:szCs w:val="28"/>
        </w:rPr>
        <w:t>, as set forth in Guide to N</w:t>
      </w:r>
      <w:r w:rsidR="007E5A04" w:rsidRPr="00DA1300">
        <w:rPr>
          <w:b/>
          <w:bCs/>
          <w:sz w:val="28"/>
          <w:szCs w:val="28"/>
        </w:rPr>
        <w:t xml:space="preserve">ew </w:t>
      </w:r>
      <w:r w:rsidR="00240FE1" w:rsidRPr="00DA1300">
        <w:rPr>
          <w:b/>
          <w:bCs/>
          <w:sz w:val="28"/>
          <w:szCs w:val="28"/>
        </w:rPr>
        <w:t>Y</w:t>
      </w:r>
      <w:r w:rsidR="007E5A04" w:rsidRPr="00DA1300">
        <w:rPr>
          <w:b/>
          <w:bCs/>
          <w:sz w:val="28"/>
          <w:szCs w:val="28"/>
        </w:rPr>
        <w:t>ork</w:t>
      </w:r>
      <w:r w:rsidR="00240FE1" w:rsidRPr="00DA1300">
        <w:rPr>
          <w:b/>
          <w:bCs/>
          <w:sz w:val="28"/>
          <w:szCs w:val="28"/>
        </w:rPr>
        <w:t xml:space="preserve"> Evidence rule 6.20.</w:t>
      </w:r>
    </w:p>
    <w:p w14:paraId="7B45804F" w14:textId="77777777" w:rsidR="008473B7" w:rsidRPr="00DA1300" w:rsidRDefault="008473B7" w:rsidP="00B6018D">
      <w:pPr>
        <w:widowControl/>
        <w:tabs>
          <w:tab w:val="left" w:pos="720"/>
          <w:tab w:val="left" w:pos="1440"/>
          <w:tab w:val="left" w:pos="2160"/>
          <w:tab w:val="left" w:pos="2880"/>
          <w:tab w:val="left" w:pos="3600"/>
          <w:tab w:val="left" w:pos="4320"/>
          <w:tab w:val="left" w:pos="5040"/>
          <w:tab w:val="left" w:pos="5760"/>
          <w:tab w:val="left" w:pos="6480"/>
          <w:tab w:val="left" w:pos="7056"/>
        </w:tabs>
        <w:autoSpaceDE/>
        <w:autoSpaceDN/>
        <w:adjustRightInd/>
        <w:ind w:right="720"/>
        <w:jc w:val="both"/>
        <w:rPr>
          <w:b/>
          <w:bCs/>
          <w:sz w:val="28"/>
          <w:szCs w:val="28"/>
        </w:rPr>
      </w:pPr>
    </w:p>
    <w:p w14:paraId="5FD0A29F" w14:textId="2BDE06E7" w:rsidR="00A13BCF" w:rsidRPr="00DA1300" w:rsidRDefault="00B6018D" w:rsidP="00B601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right="720"/>
        <w:jc w:val="both"/>
        <w:rPr>
          <w:b/>
          <w:bCs/>
          <w:sz w:val="28"/>
          <w:szCs w:val="28"/>
        </w:rPr>
      </w:pPr>
      <w:r w:rsidRPr="00DA1300">
        <w:rPr>
          <w:b/>
          <w:bCs/>
          <w:sz w:val="28"/>
          <w:szCs w:val="28"/>
        </w:rPr>
        <w:t xml:space="preserve">(3) </w:t>
      </w:r>
      <w:r w:rsidR="008473B7" w:rsidRPr="00DA1300">
        <w:rPr>
          <w:b/>
          <w:bCs/>
          <w:sz w:val="28"/>
          <w:szCs w:val="28"/>
        </w:rPr>
        <w:t>A statement of a witness made before the witness’s testimony that constitutes a “prompt outcry” is admissible to the extent set forth in Guide to N</w:t>
      </w:r>
      <w:r w:rsidR="007E5A04" w:rsidRPr="00DA1300">
        <w:rPr>
          <w:b/>
          <w:bCs/>
          <w:sz w:val="28"/>
          <w:szCs w:val="28"/>
        </w:rPr>
        <w:t xml:space="preserve">ew </w:t>
      </w:r>
      <w:r w:rsidR="008473B7" w:rsidRPr="00DA1300">
        <w:rPr>
          <w:b/>
          <w:bCs/>
          <w:sz w:val="28"/>
          <w:szCs w:val="28"/>
        </w:rPr>
        <w:t>Y</w:t>
      </w:r>
      <w:r w:rsidR="007E5A04" w:rsidRPr="00DA1300">
        <w:rPr>
          <w:b/>
          <w:bCs/>
          <w:sz w:val="28"/>
          <w:szCs w:val="28"/>
        </w:rPr>
        <w:t>ork</w:t>
      </w:r>
      <w:r w:rsidR="008473B7" w:rsidRPr="00DA1300">
        <w:rPr>
          <w:b/>
          <w:bCs/>
          <w:sz w:val="28"/>
          <w:szCs w:val="28"/>
        </w:rPr>
        <w:t xml:space="preserve"> Evidence </w:t>
      </w:r>
      <w:r w:rsidR="007E5A04" w:rsidRPr="00DA1300">
        <w:rPr>
          <w:b/>
          <w:bCs/>
          <w:sz w:val="28"/>
          <w:szCs w:val="28"/>
        </w:rPr>
        <w:t>r</w:t>
      </w:r>
      <w:r w:rsidR="008473B7" w:rsidRPr="00DA1300">
        <w:rPr>
          <w:b/>
          <w:bCs/>
          <w:sz w:val="28"/>
          <w:szCs w:val="28"/>
        </w:rPr>
        <w:t>ule 8.37.</w:t>
      </w:r>
    </w:p>
    <w:p w14:paraId="73155F03" w14:textId="77777777" w:rsidR="00A13BCF" w:rsidRPr="00DA1300" w:rsidRDefault="00A13BCF" w:rsidP="00B601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right="720"/>
        <w:jc w:val="both"/>
        <w:rPr>
          <w:b/>
          <w:bCs/>
          <w:sz w:val="28"/>
          <w:szCs w:val="28"/>
        </w:rPr>
      </w:pPr>
    </w:p>
    <w:p w14:paraId="36444F7B" w14:textId="6A8FC117" w:rsidR="00A13BCF" w:rsidRPr="00DA1300" w:rsidRDefault="00B6018D" w:rsidP="00B601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right="720"/>
        <w:jc w:val="both"/>
        <w:rPr>
          <w:b/>
          <w:bCs/>
          <w:sz w:val="28"/>
          <w:szCs w:val="28"/>
        </w:rPr>
      </w:pPr>
      <w:r w:rsidRPr="00DA1300">
        <w:rPr>
          <w:b/>
          <w:bCs/>
          <w:sz w:val="28"/>
          <w:szCs w:val="28"/>
        </w:rPr>
        <w:t xml:space="preserve">(4) </w:t>
      </w:r>
      <w:r w:rsidR="00A13BCF" w:rsidRPr="00DA1300">
        <w:rPr>
          <w:b/>
          <w:bCs/>
          <w:sz w:val="28"/>
          <w:szCs w:val="28"/>
        </w:rPr>
        <w:t xml:space="preserve">A statement of a witness </w:t>
      </w:r>
      <w:bookmarkStart w:id="0" w:name="_Hlk93698963"/>
      <w:r w:rsidR="00A13BCF" w:rsidRPr="00DA1300">
        <w:rPr>
          <w:b/>
          <w:bCs/>
          <w:sz w:val="28"/>
          <w:szCs w:val="28"/>
        </w:rPr>
        <w:t>made before the witness’s testimony that describes the person alleged to have committed the charged offense and is consistent with the witness’s testimony is admissible, not for its truth, but rather as evidence that assists the jury in evaluating the witness's opportunity to observe at the time of the crime, and the reliability of her memory at the time of the corporeal identification.</w:t>
      </w:r>
    </w:p>
    <w:p w14:paraId="6A76EA45" w14:textId="4EC415AC" w:rsidR="00DB747A" w:rsidRPr="00DA1300" w:rsidRDefault="00DB747A" w:rsidP="00B601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right="720"/>
        <w:jc w:val="both"/>
        <w:rPr>
          <w:b/>
          <w:bCs/>
          <w:sz w:val="28"/>
          <w:szCs w:val="28"/>
        </w:rPr>
      </w:pPr>
    </w:p>
    <w:p w14:paraId="5F182A14" w14:textId="32A8A0FB" w:rsidR="00F30552" w:rsidRPr="00DA1300" w:rsidRDefault="00B6018D" w:rsidP="00B601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right="720"/>
        <w:jc w:val="both"/>
        <w:rPr>
          <w:b/>
          <w:bCs/>
          <w:sz w:val="28"/>
          <w:szCs w:val="28"/>
        </w:rPr>
      </w:pPr>
      <w:r w:rsidRPr="00DA1300">
        <w:rPr>
          <w:b/>
          <w:bCs/>
          <w:sz w:val="28"/>
          <w:szCs w:val="28"/>
        </w:rPr>
        <w:t xml:space="preserve">(5) </w:t>
      </w:r>
      <w:r w:rsidR="00977114" w:rsidRPr="00DA1300">
        <w:rPr>
          <w:b/>
          <w:bCs/>
          <w:sz w:val="28"/>
          <w:szCs w:val="28"/>
        </w:rPr>
        <w:t xml:space="preserve">A statement of a witness made </w:t>
      </w:r>
      <w:r w:rsidR="007A2B28" w:rsidRPr="00DA1300">
        <w:rPr>
          <w:b/>
          <w:bCs/>
          <w:sz w:val="28"/>
          <w:szCs w:val="28"/>
        </w:rPr>
        <w:t>before the witness’s</w:t>
      </w:r>
      <w:r w:rsidR="00977114" w:rsidRPr="00DA1300">
        <w:rPr>
          <w:b/>
          <w:bCs/>
          <w:sz w:val="28"/>
          <w:szCs w:val="28"/>
        </w:rPr>
        <w:t xml:space="preserve"> testimony</w:t>
      </w:r>
      <w:r w:rsidR="00014A3D" w:rsidRPr="00DA1300">
        <w:rPr>
          <w:b/>
          <w:bCs/>
          <w:sz w:val="28"/>
          <w:szCs w:val="28"/>
        </w:rPr>
        <w:t xml:space="preserve"> is admissible </w:t>
      </w:r>
      <w:r w:rsidR="0060728D" w:rsidRPr="00DA1300">
        <w:rPr>
          <w:b/>
          <w:bCs/>
          <w:sz w:val="28"/>
          <w:szCs w:val="28"/>
        </w:rPr>
        <w:t xml:space="preserve">when the statement is admitted </w:t>
      </w:r>
      <w:r w:rsidR="00B15BB2" w:rsidRPr="00DA1300">
        <w:rPr>
          <w:b/>
          <w:bCs/>
          <w:sz w:val="28"/>
          <w:szCs w:val="28"/>
        </w:rPr>
        <w:t xml:space="preserve">not for the truth of its contents but </w:t>
      </w:r>
      <w:r w:rsidR="0060728D" w:rsidRPr="00DA1300">
        <w:rPr>
          <w:b/>
          <w:bCs/>
          <w:sz w:val="28"/>
          <w:szCs w:val="28"/>
        </w:rPr>
        <w:t xml:space="preserve">for </w:t>
      </w:r>
      <w:r w:rsidR="00F72C62" w:rsidRPr="00DA1300">
        <w:rPr>
          <w:b/>
          <w:bCs/>
          <w:sz w:val="28"/>
          <w:szCs w:val="28"/>
        </w:rPr>
        <w:t xml:space="preserve">some </w:t>
      </w:r>
      <w:r w:rsidR="005C0303" w:rsidRPr="00DA1300">
        <w:rPr>
          <w:b/>
          <w:bCs/>
          <w:sz w:val="28"/>
          <w:szCs w:val="28"/>
        </w:rPr>
        <w:t xml:space="preserve">other </w:t>
      </w:r>
      <w:r w:rsidR="00F72C62" w:rsidRPr="00DA1300">
        <w:rPr>
          <w:b/>
          <w:bCs/>
          <w:sz w:val="28"/>
          <w:szCs w:val="28"/>
        </w:rPr>
        <w:t>relevant purpose</w:t>
      </w:r>
      <w:r w:rsidR="009024C9" w:rsidRPr="00DA1300">
        <w:rPr>
          <w:b/>
          <w:bCs/>
          <w:sz w:val="28"/>
          <w:szCs w:val="28"/>
        </w:rPr>
        <w:t>,</w:t>
      </w:r>
      <w:r w:rsidR="00232733" w:rsidRPr="00DA1300">
        <w:rPr>
          <w:rFonts w:eastAsia="Times New Roman"/>
          <w:sz w:val="28"/>
          <w:szCs w:val="28"/>
        </w:rPr>
        <w:t xml:space="preserve"> </w:t>
      </w:r>
      <w:r w:rsidR="00232733" w:rsidRPr="00DA1300">
        <w:rPr>
          <w:b/>
          <w:bCs/>
          <w:sz w:val="28"/>
          <w:szCs w:val="28"/>
        </w:rPr>
        <w:t xml:space="preserve">such as explaining </w:t>
      </w:r>
      <w:r w:rsidR="009024C9" w:rsidRPr="00DA1300">
        <w:rPr>
          <w:b/>
          <w:bCs/>
          <w:sz w:val="28"/>
          <w:szCs w:val="28"/>
        </w:rPr>
        <w:t>what led to an investigation and arrest.</w:t>
      </w:r>
      <w:bookmarkEnd w:id="0"/>
    </w:p>
    <w:p w14:paraId="5B8CA0C4" w14:textId="77777777" w:rsidR="00DB747A" w:rsidRPr="00DA1300" w:rsidRDefault="00DB747A" w:rsidP="005510B1">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57DBBBE0" w14:textId="44A7E729" w:rsidR="008E25C0" w:rsidRPr="00DA1300" w:rsidRDefault="008E25C0" w:rsidP="005510B1">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right="720"/>
        <w:jc w:val="center"/>
        <w:rPr>
          <w:b/>
          <w:bCs/>
          <w:sz w:val="24"/>
          <w:szCs w:val="24"/>
        </w:rPr>
      </w:pPr>
      <w:r w:rsidRPr="00DA1300">
        <w:rPr>
          <w:b/>
          <w:bCs/>
          <w:sz w:val="24"/>
          <w:szCs w:val="24"/>
        </w:rPr>
        <w:t>Note</w:t>
      </w:r>
    </w:p>
    <w:p w14:paraId="23C35319" w14:textId="77777777" w:rsidR="00792464" w:rsidRPr="00DA1300" w:rsidRDefault="00792464" w:rsidP="005510B1">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right="720"/>
        <w:jc w:val="both"/>
        <w:rPr>
          <w:bCs/>
          <w:sz w:val="24"/>
          <w:szCs w:val="24"/>
        </w:rPr>
      </w:pPr>
    </w:p>
    <w:p w14:paraId="22DBDA80" w14:textId="67473D2B" w:rsidR="004A7B64" w:rsidRPr="00DA1300" w:rsidRDefault="00B6018D" w:rsidP="00B6018D">
      <w:pPr>
        <w:widowControl/>
        <w:shd w:val="clear" w:color="auto" w:fill="FFFFFF"/>
        <w:tabs>
          <w:tab w:val="left" w:pos="720"/>
        </w:tabs>
        <w:autoSpaceDE/>
        <w:autoSpaceDN/>
        <w:adjustRightInd/>
        <w:jc w:val="both"/>
        <w:rPr>
          <w:rFonts w:eastAsia="Times New Roman"/>
          <w:sz w:val="24"/>
          <w:szCs w:val="24"/>
        </w:rPr>
      </w:pPr>
      <w:r w:rsidRPr="00DA1300">
        <w:rPr>
          <w:b/>
          <w:sz w:val="24"/>
          <w:szCs w:val="24"/>
        </w:rPr>
        <w:tab/>
      </w:r>
      <w:r w:rsidR="005B2F2B" w:rsidRPr="00DA1300">
        <w:rPr>
          <w:b/>
          <w:sz w:val="24"/>
          <w:szCs w:val="24"/>
        </w:rPr>
        <w:t>Subdivision (1)</w:t>
      </w:r>
      <w:r w:rsidR="005B2F2B" w:rsidRPr="00DA1300">
        <w:rPr>
          <w:bCs/>
          <w:sz w:val="24"/>
          <w:szCs w:val="24"/>
        </w:rPr>
        <w:t xml:space="preserve"> states the </w:t>
      </w:r>
      <w:r w:rsidR="008D61C0" w:rsidRPr="00DA1300">
        <w:rPr>
          <w:bCs/>
          <w:sz w:val="24"/>
          <w:szCs w:val="24"/>
        </w:rPr>
        <w:t>general</w:t>
      </w:r>
      <w:r w:rsidR="007825FB" w:rsidRPr="00DA1300">
        <w:rPr>
          <w:bCs/>
          <w:sz w:val="24"/>
          <w:szCs w:val="24"/>
        </w:rPr>
        <w:t xml:space="preserve"> rule </w:t>
      </w:r>
      <w:r w:rsidR="001875EC" w:rsidRPr="00DA1300">
        <w:rPr>
          <w:bCs/>
          <w:sz w:val="24"/>
          <w:szCs w:val="24"/>
        </w:rPr>
        <w:t>that excludes</w:t>
      </w:r>
      <w:r w:rsidR="007825FB" w:rsidRPr="00DA1300">
        <w:rPr>
          <w:bCs/>
          <w:sz w:val="24"/>
          <w:szCs w:val="24"/>
        </w:rPr>
        <w:t xml:space="preserve"> a testifying witness’s prior consistent statements. As summarized in </w:t>
      </w:r>
      <w:r w:rsidR="004A7B64" w:rsidRPr="00DA1300">
        <w:rPr>
          <w:rFonts w:eastAsia="Times New Roman"/>
          <w:i/>
          <w:iCs/>
          <w:sz w:val="24"/>
          <w:szCs w:val="24"/>
        </w:rPr>
        <w:t>People v McDaniel</w:t>
      </w:r>
      <w:r w:rsidR="004A7B64" w:rsidRPr="00DA1300">
        <w:rPr>
          <w:rFonts w:eastAsia="Times New Roman"/>
          <w:sz w:val="24"/>
          <w:szCs w:val="24"/>
        </w:rPr>
        <w:t xml:space="preserve"> </w:t>
      </w:r>
      <w:r w:rsidR="007E5A04" w:rsidRPr="00DA1300">
        <w:rPr>
          <w:rFonts w:eastAsia="Times New Roman"/>
          <w:sz w:val="24"/>
          <w:szCs w:val="24"/>
        </w:rPr>
        <w:t>(</w:t>
      </w:r>
      <w:r w:rsidR="004A7B64" w:rsidRPr="00DA1300">
        <w:rPr>
          <w:rFonts w:eastAsia="Times New Roman"/>
          <w:sz w:val="24"/>
          <w:szCs w:val="24"/>
        </w:rPr>
        <w:t>81 NY2d 10, 16</w:t>
      </w:r>
      <w:r w:rsidR="00F22355" w:rsidRPr="00DA1300">
        <w:rPr>
          <w:rFonts w:eastAsia="Times New Roman"/>
          <w:sz w:val="24"/>
          <w:szCs w:val="24"/>
        </w:rPr>
        <w:t xml:space="preserve"> </w:t>
      </w:r>
      <w:r w:rsidR="004A7B64" w:rsidRPr="00DA1300">
        <w:rPr>
          <w:rFonts w:eastAsia="Times New Roman"/>
          <w:sz w:val="24"/>
          <w:szCs w:val="24"/>
        </w:rPr>
        <w:t>[1993]</w:t>
      </w:r>
      <w:r w:rsidR="007E5A04" w:rsidRPr="00DA1300">
        <w:rPr>
          <w:rFonts w:eastAsia="Times New Roman"/>
          <w:sz w:val="24"/>
          <w:szCs w:val="24"/>
        </w:rPr>
        <w:t>)</w:t>
      </w:r>
      <w:r w:rsidR="00F22355" w:rsidRPr="00DA1300">
        <w:rPr>
          <w:rFonts w:eastAsia="Times New Roman"/>
          <w:sz w:val="24"/>
          <w:szCs w:val="24"/>
        </w:rPr>
        <w:t>:</w:t>
      </w:r>
    </w:p>
    <w:p w14:paraId="01B1D994" w14:textId="77777777" w:rsidR="00B6018D" w:rsidRPr="00DA1300" w:rsidRDefault="00B6018D" w:rsidP="00B6018D">
      <w:pPr>
        <w:widowControl/>
        <w:shd w:val="clear" w:color="auto" w:fill="FFFFFF"/>
        <w:autoSpaceDE/>
        <w:autoSpaceDN/>
        <w:adjustRightInd/>
        <w:ind w:right="720"/>
        <w:jc w:val="both"/>
        <w:rPr>
          <w:rFonts w:eastAsia="Times New Roman"/>
          <w:sz w:val="24"/>
          <w:szCs w:val="24"/>
        </w:rPr>
      </w:pPr>
    </w:p>
    <w:p w14:paraId="675A1745" w14:textId="6E16B1E7" w:rsidR="004A7B64" w:rsidRPr="00DA1300" w:rsidRDefault="008266AD" w:rsidP="005510B1">
      <w:pPr>
        <w:widowControl/>
        <w:shd w:val="clear" w:color="auto" w:fill="FFFFFF"/>
        <w:autoSpaceDE/>
        <w:autoSpaceDN/>
        <w:adjustRightInd/>
        <w:ind w:left="576" w:right="720"/>
        <w:jc w:val="both"/>
        <w:rPr>
          <w:rFonts w:eastAsia="Times New Roman"/>
          <w:sz w:val="24"/>
          <w:szCs w:val="24"/>
        </w:rPr>
      </w:pPr>
      <w:r w:rsidRPr="00DA1300">
        <w:rPr>
          <w:rFonts w:eastAsia="Times New Roman"/>
          <w:sz w:val="24"/>
          <w:szCs w:val="24"/>
        </w:rPr>
        <w:t>“</w:t>
      </w:r>
      <w:r w:rsidR="004A7B64" w:rsidRPr="00DA1300">
        <w:rPr>
          <w:rFonts w:eastAsia="Times New Roman"/>
          <w:sz w:val="24"/>
          <w:szCs w:val="24"/>
        </w:rPr>
        <w:t>A witness</w:t>
      </w:r>
      <w:r w:rsidR="007A29A9" w:rsidRPr="00DA1300">
        <w:rPr>
          <w:rFonts w:eastAsia="Times New Roman"/>
          <w:sz w:val="24"/>
          <w:szCs w:val="24"/>
        </w:rPr>
        <w:t>’</w:t>
      </w:r>
      <w:r w:rsidR="004A7B64" w:rsidRPr="00DA1300">
        <w:rPr>
          <w:rFonts w:eastAsia="Times New Roman"/>
          <w:sz w:val="24"/>
          <w:szCs w:val="24"/>
        </w:rPr>
        <w:t xml:space="preserve"> trial testimony ordinarily may not be bolstered with pretrial statements</w:t>
      </w:r>
      <w:r w:rsidR="005F41C8" w:rsidRPr="00DA1300">
        <w:rPr>
          <w:rFonts w:eastAsia="Times New Roman"/>
          <w:sz w:val="24"/>
          <w:szCs w:val="24"/>
        </w:rPr>
        <w:t>.</w:t>
      </w:r>
      <w:r w:rsidR="00490949" w:rsidRPr="00DA1300">
        <w:rPr>
          <w:rFonts w:eastAsia="Times New Roman"/>
          <w:sz w:val="24"/>
          <w:szCs w:val="24"/>
        </w:rPr>
        <w:t xml:space="preserve"> </w:t>
      </w:r>
      <w:r w:rsidR="004A7B64" w:rsidRPr="00DA1300">
        <w:rPr>
          <w:rFonts w:eastAsia="Times New Roman"/>
          <w:sz w:val="24"/>
          <w:szCs w:val="24"/>
        </w:rPr>
        <w:t>Several rationales underlie the rule: untrustworthy testimony does not become less so merely by repetition; testimony under oath is preferable to extrajudicial statements; and litigations should not devolve into contests as to which party could obtain the latest version of a witness</w:t>
      </w:r>
      <w:r w:rsidR="007A29A9" w:rsidRPr="00DA1300">
        <w:rPr>
          <w:rFonts w:eastAsia="Times New Roman"/>
          <w:sz w:val="24"/>
          <w:szCs w:val="24"/>
        </w:rPr>
        <w:t>’</w:t>
      </w:r>
      <w:r w:rsidR="004A7B64" w:rsidRPr="00DA1300">
        <w:rPr>
          <w:rFonts w:eastAsia="Times New Roman"/>
          <w:sz w:val="24"/>
          <w:szCs w:val="24"/>
        </w:rPr>
        <w:t xml:space="preserve"> story</w:t>
      </w:r>
      <w:r w:rsidRPr="00DA1300">
        <w:rPr>
          <w:rFonts w:eastAsia="Times New Roman"/>
          <w:sz w:val="24"/>
          <w:szCs w:val="24"/>
        </w:rPr>
        <w:t>”</w:t>
      </w:r>
      <w:r w:rsidR="005F41C8" w:rsidRPr="00DA1300">
        <w:rPr>
          <w:rFonts w:eastAsia="Times New Roman"/>
          <w:sz w:val="24"/>
          <w:szCs w:val="24"/>
        </w:rPr>
        <w:t xml:space="preserve"> (citations omitted</w:t>
      </w:r>
      <w:r w:rsidR="00F45E00" w:rsidRPr="00DA1300">
        <w:rPr>
          <w:rFonts w:eastAsia="Times New Roman"/>
          <w:sz w:val="24"/>
          <w:szCs w:val="24"/>
        </w:rPr>
        <w:t>)</w:t>
      </w:r>
      <w:r w:rsidR="005F41C8" w:rsidRPr="00DA1300">
        <w:rPr>
          <w:rFonts w:eastAsia="Times New Roman"/>
          <w:sz w:val="24"/>
          <w:szCs w:val="24"/>
        </w:rPr>
        <w:t>.</w:t>
      </w:r>
    </w:p>
    <w:p w14:paraId="6A44F01E" w14:textId="063BA9CE" w:rsidR="005B2F2B" w:rsidRPr="00DA1300" w:rsidRDefault="005B2F2B" w:rsidP="00B6018D">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right="720"/>
        <w:jc w:val="both"/>
        <w:rPr>
          <w:bCs/>
          <w:sz w:val="24"/>
          <w:szCs w:val="24"/>
        </w:rPr>
      </w:pPr>
    </w:p>
    <w:p w14:paraId="6AB9769A" w14:textId="5A6299FE" w:rsidR="005B2F2B" w:rsidRPr="00DA1300" w:rsidRDefault="008266AD" w:rsidP="005510B1">
      <w:pPr>
        <w:widowControl/>
        <w:tabs>
          <w:tab w:val="left" w:pos="576"/>
          <w:tab w:val="left" w:pos="720"/>
          <w:tab w:val="left" w:pos="1440"/>
          <w:tab w:val="left" w:pos="2160"/>
          <w:tab w:val="left" w:pos="2880"/>
          <w:tab w:val="left" w:pos="3600"/>
          <w:tab w:val="left" w:pos="4320"/>
          <w:tab w:val="left" w:pos="5040"/>
          <w:tab w:val="left" w:pos="5760"/>
          <w:tab w:val="left" w:pos="6480"/>
        </w:tabs>
        <w:jc w:val="both"/>
        <w:rPr>
          <w:bCs/>
          <w:sz w:val="24"/>
          <w:szCs w:val="24"/>
        </w:rPr>
      </w:pPr>
      <w:r w:rsidRPr="00DA1300">
        <w:rPr>
          <w:bCs/>
          <w:i/>
          <w:iCs/>
          <w:sz w:val="24"/>
          <w:szCs w:val="24"/>
        </w:rPr>
        <w:t>Mc</w:t>
      </w:r>
      <w:r w:rsidR="00773F9E" w:rsidRPr="00DA1300">
        <w:rPr>
          <w:bCs/>
          <w:i/>
          <w:iCs/>
          <w:sz w:val="24"/>
          <w:szCs w:val="24"/>
        </w:rPr>
        <w:t>Daniel</w:t>
      </w:r>
      <w:r w:rsidR="008D61C0" w:rsidRPr="00DA1300">
        <w:rPr>
          <w:bCs/>
          <w:sz w:val="24"/>
          <w:szCs w:val="24"/>
        </w:rPr>
        <w:t>,</w:t>
      </w:r>
      <w:r w:rsidR="008D61C0" w:rsidRPr="00DA1300">
        <w:rPr>
          <w:bCs/>
          <w:i/>
          <w:iCs/>
          <w:sz w:val="24"/>
          <w:szCs w:val="24"/>
        </w:rPr>
        <w:t xml:space="preserve"> </w:t>
      </w:r>
      <w:r w:rsidR="008D61C0" w:rsidRPr="00DA1300">
        <w:rPr>
          <w:bCs/>
          <w:sz w:val="24"/>
          <w:szCs w:val="24"/>
        </w:rPr>
        <w:t>however</w:t>
      </w:r>
      <w:r w:rsidR="008D61C0" w:rsidRPr="00DA1300">
        <w:rPr>
          <w:bCs/>
          <w:i/>
          <w:iCs/>
          <w:sz w:val="24"/>
          <w:szCs w:val="24"/>
        </w:rPr>
        <w:t xml:space="preserve">, </w:t>
      </w:r>
      <w:r w:rsidRPr="00DA1300">
        <w:rPr>
          <w:bCs/>
          <w:sz w:val="24"/>
          <w:szCs w:val="24"/>
        </w:rPr>
        <w:t>also recognized</w:t>
      </w:r>
      <w:r w:rsidR="00844966" w:rsidRPr="00DA1300">
        <w:rPr>
          <w:bCs/>
          <w:sz w:val="24"/>
          <w:szCs w:val="24"/>
        </w:rPr>
        <w:t xml:space="preserve"> </w:t>
      </w:r>
      <w:r w:rsidRPr="00DA1300">
        <w:rPr>
          <w:bCs/>
          <w:sz w:val="24"/>
          <w:szCs w:val="24"/>
        </w:rPr>
        <w:t>exceptions</w:t>
      </w:r>
      <w:r w:rsidR="008603B4" w:rsidRPr="00DA1300">
        <w:rPr>
          <w:bCs/>
          <w:sz w:val="24"/>
          <w:szCs w:val="24"/>
        </w:rPr>
        <w:t xml:space="preserve"> to the general rule of exclusion.</w:t>
      </w:r>
    </w:p>
    <w:p w14:paraId="1390F11A" w14:textId="0E6D2172" w:rsidR="005B2F2B" w:rsidRPr="00DA1300" w:rsidRDefault="005B2F2B" w:rsidP="00DE7A0F">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right="720"/>
        <w:jc w:val="both"/>
        <w:rPr>
          <w:bCs/>
          <w:sz w:val="24"/>
          <w:szCs w:val="24"/>
        </w:rPr>
      </w:pPr>
    </w:p>
    <w:p w14:paraId="56A3E559" w14:textId="59078EA8" w:rsidR="00ED0A67" w:rsidRPr="00DA1300" w:rsidRDefault="00DE7A0F" w:rsidP="00DE7A0F">
      <w:pPr>
        <w:tabs>
          <w:tab w:val="left" w:pos="720"/>
        </w:tabs>
        <w:snapToGrid w:val="0"/>
        <w:jc w:val="both"/>
        <w:rPr>
          <w:rStyle w:val="Hyperlink"/>
          <w:rFonts w:eastAsia="Times New Roman"/>
          <w:color w:val="auto"/>
          <w:sz w:val="24"/>
          <w:szCs w:val="24"/>
        </w:rPr>
      </w:pPr>
      <w:r w:rsidRPr="00DA1300">
        <w:rPr>
          <w:b/>
          <w:bCs/>
          <w:sz w:val="24"/>
          <w:szCs w:val="24"/>
        </w:rPr>
        <w:tab/>
      </w:r>
      <w:r w:rsidR="00520EAF" w:rsidRPr="00DA1300">
        <w:rPr>
          <w:b/>
          <w:bCs/>
          <w:sz w:val="24"/>
          <w:szCs w:val="24"/>
        </w:rPr>
        <w:t>Subdivision (</w:t>
      </w:r>
      <w:r w:rsidR="00D4265A" w:rsidRPr="00DA1300">
        <w:rPr>
          <w:b/>
          <w:bCs/>
          <w:sz w:val="24"/>
          <w:szCs w:val="24"/>
        </w:rPr>
        <w:t>2</w:t>
      </w:r>
      <w:r w:rsidR="00520EAF" w:rsidRPr="00DA1300">
        <w:rPr>
          <w:b/>
          <w:bCs/>
          <w:sz w:val="24"/>
          <w:szCs w:val="24"/>
        </w:rPr>
        <w:t>)</w:t>
      </w:r>
      <w:r w:rsidR="008E25C0" w:rsidRPr="00DA1300">
        <w:rPr>
          <w:b/>
          <w:bCs/>
          <w:sz w:val="24"/>
          <w:szCs w:val="24"/>
        </w:rPr>
        <w:t xml:space="preserve"> </w:t>
      </w:r>
      <w:r w:rsidR="008E25C0" w:rsidRPr="00DA1300">
        <w:rPr>
          <w:sz w:val="24"/>
          <w:szCs w:val="24"/>
        </w:rPr>
        <w:t xml:space="preserve">sets forth an exception for </w:t>
      </w:r>
      <w:r w:rsidR="00CF4191" w:rsidRPr="00DA1300">
        <w:rPr>
          <w:sz w:val="24"/>
          <w:szCs w:val="24"/>
        </w:rPr>
        <w:t xml:space="preserve">the admission of </w:t>
      </w:r>
      <w:r w:rsidR="008E25C0" w:rsidRPr="00DA1300">
        <w:rPr>
          <w:sz w:val="24"/>
          <w:szCs w:val="24"/>
        </w:rPr>
        <w:t xml:space="preserve">a prior consistent statement of a witness </w:t>
      </w:r>
      <w:r w:rsidR="00CF4191" w:rsidRPr="00DA1300">
        <w:rPr>
          <w:sz w:val="24"/>
          <w:szCs w:val="24"/>
        </w:rPr>
        <w:t xml:space="preserve">when the testimony of the witness is challenged as </w:t>
      </w:r>
      <w:r w:rsidR="00761109" w:rsidRPr="00DA1300">
        <w:rPr>
          <w:sz w:val="24"/>
          <w:szCs w:val="24"/>
        </w:rPr>
        <w:t>a “recent fabrication</w:t>
      </w:r>
      <w:r w:rsidR="001F36AA" w:rsidRPr="00DA1300">
        <w:rPr>
          <w:sz w:val="24"/>
          <w:szCs w:val="24"/>
        </w:rPr>
        <w:t>,</w:t>
      </w:r>
      <w:r w:rsidR="00761109" w:rsidRPr="00DA1300">
        <w:rPr>
          <w:sz w:val="24"/>
          <w:szCs w:val="24"/>
        </w:rPr>
        <w:t>”</w:t>
      </w:r>
      <w:r w:rsidR="001F36AA" w:rsidRPr="00DA1300">
        <w:rPr>
          <w:rFonts w:eastAsia="Times New Roman"/>
          <w:sz w:val="24"/>
          <w:szCs w:val="24"/>
        </w:rPr>
        <w:t xml:space="preserve"> meaning “the defense is charging the witness not with mistake or confusion, but with making up a false story”</w:t>
      </w:r>
      <w:r w:rsidR="00761109" w:rsidRPr="00DA1300">
        <w:rPr>
          <w:sz w:val="24"/>
          <w:szCs w:val="24"/>
        </w:rPr>
        <w:t xml:space="preserve"> </w:t>
      </w:r>
      <w:r w:rsidR="00642980" w:rsidRPr="00DA1300">
        <w:rPr>
          <w:sz w:val="24"/>
          <w:szCs w:val="24"/>
        </w:rPr>
        <w:t>(</w:t>
      </w:r>
      <w:r w:rsidR="008E25C0" w:rsidRPr="00DA1300">
        <w:rPr>
          <w:i/>
          <w:iCs/>
          <w:sz w:val="24"/>
          <w:szCs w:val="24"/>
        </w:rPr>
        <w:t>People v Singer</w:t>
      </w:r>
      <w:r w:rsidR="008E25C0" w:rsidRPr="00DA1300">
        <w:rPr>
          <w:sz w:val="24"/>
          <w:szCs w:val="24"/>
        </w:rPr>
        <w:t>, 300 NY 120, 123</w:t>
      </w:r>
      <w:r w:rsidR="00E96B0B" w:rsidRPr="00DA1300">
        <w:rPr>
          <w:sz w:val="24"/>
          <w:szCs w:val="24"/>
        </w:rPr>
        <w:t>-124</w:t>
      </w:r>
      <w:r w:rsidR="008E25C0" w:rsidRPr="00DA1300">
        <w:rPr>
          <w:sz w:val="24"/>
          <w:szCs w:val="24"/>
        </w:rPr>
        <w:t xml:space="preserve"> [1949]</w:t>
      </w:r>
      <w:r w:rsidR="003340E0" w:rsidRPr="00DA1300">
        <w:rPr>
          <w:sz w:val="24"/>
          <w:szCs w:val="24"/>
        </w:rPr>
        <w:t>; Guide to NY Evid rule 6</w:t>
      </w:r>
      <w:r w:rsidR="009F1730" w:rsidRPr="00DA1300">
        <w:rPr>
          <w:sz w:val="24"/>
          <w:szCs w:val="24"/>
        </w:rPr>
        <w:t>.20</w:t>
      </w:r>
      <w:r w:rsidR="00343CF5" w:rsidRPr="00DA1300">
        <w:rPr>
          <w:sz w:val="24"/>
          <w:szCs w:val="24"/>
        </w:rPr>
        <w:t xml:space="preserve"> </w:t>
      </w:r>
      <w:r w:rsidR="00642980" w:rsidRPr="00DA1300">
        <w:rPr>
          <w:sz w:val="24"/>
          <w:szCs w:val="24"/>
        </w:rPr>
        <w:t>[</w:t>
      </w:r>
      <w:r w:rsidR="00343CF5" w:rsidRPr="00DA1300">
        <w:rPr>
          <w:sz w:val="24"/>
          <w:szCs w:val="24"/>
        </w:rPr>
        <w:t xml:space="preserve">Impeachment by </w:t>
      </w:r>
      <w:r w:rsidR="00FC5CF9" w:rsidRPr="00DA1300">
        <w:rPr>
          <w:sz w:val="24"/>
          <w:szCs w:val="24"/>
        </w:rPr>
        <w:t>Recent Fabrication</w:t>
      </w:r>
      <w:r w:rsidR="00642980" w:rsidRPr="00DA1300">
        <w:rPr>
          <w:sz w:val="24"/>
          <w:szCs w:val="24"/>
        </w:rPr>
        <w:t>];</w:t>
      </w:r>
      <w:r w:rsidR="002D792D" w:rsidRPr="00DA1300">
        <w:rPr>
          <w:sz w:val="24"/>
          <w:szCs w:val="24"/>
        </w:rPr>
        <w:t xml:space="preserve"> </w:t>
      </w:r>
      <w:r w:rsidR="00642980" w:rsidRPr="00DA1300">
        <w:rPr>
          <w:sz w:val="24"/>
          <w:szCs w:val="24"/>
        </w:rPr>
        <w:t>s</w:t>
      </w:r>
      <w:r w:rsidR="007B0D57" w:rsidRPr="00DA1300">
        <w:rPr>
          <w:i/>
          <w:iCs/>
          <w:sz w:val="24"/>
          <w:szCs w:val="24"/>
        </w:rPr>
        <w:t>ee generally,</w:t>
      </w:r>
      <w:r w:rsidR="007B0D57" w:rsidRPr="00DA1300">
        <w:rPr>
          <w:sz w:val="24"/>
          <w:szCs w:val="24"/>
        </w:rPr>
        <w:t xml:space="preserve"> Michael J. Hutter, </w:t>
      </w:r>
      <w:r w:rsidR="007B0D57" w:rsidRPr="00DA1300">
        <w:rPr>
          <w:rFonts w:eastAsia="Times New Roman"/>
          <w:i/>
          <w:iCs/>
          <w:sz w:val="24"/>
          <w:szCs w:val="24"/>
        </w:rPr>
        <w:t>Admissibility of Prior Consistent Statement</w:t>
      </w:r>
      <w:r w:rsidR="007B0D57" w:rsidRPr="00DA1300">
        <w:rPr>
          <w:rFonts w:eastAsia="Times New Roman"/>
          <w:sz w:val="24"/>
          <w:szCs w:val="24"/>
        </w:rPr>
        <w:t>,</w:t>
      </w:r>
      <w:r w:rsidR="003F0E8F" w:rsidRPr="00DA1300">
        <w:rPr>
          <w:rFonts w:eastAsia="Times New Roman"/>
          <w:sz w:val="24"/>
          <w:szCs w:val="24"/>
        </w:rPr>
        <w:t xml:space="preserve"> </w:t>
      </w:r>
      <w:r w:rsidR="007B0D57" w:rsidRPr="00DA1300">
        <w:rPr>
          <w:rFonts w:eastAsia="Times New Roman"/>
          <w:sz w:val="24"/>
          <w:szCs w:val="24"/>
        </w:rPr>
        <w:t>NYLJ,</w:t>
      </w:r>
      <w:r w:rsidR="003F0E8F" w:rsidRPr="00DA1300">
        <w:rPr>
          <w:rFonts w:eastAsia="Times New Roman"/>
          <w:sz w:val="24"/>
          <w:szCs w:val="24"/>
        </w:rPr>
        <w:t xml:space="preserve"> </w:t>
      </w:r>
      <w:r w:rsidR="007B0D57" w:rsidRPr="00DA1300">
        <w:rPr>
          <w:rFonts w:eastAsia="Times New Roman"/>
          <w:sz w:val="24"/>
          <w:szCs w:val="24"/>
        </w:rPr>
        <w:t>Dec</w:t>
      </w:r>
      <w:r w:rsidR="003F0E8F" w:rsidRPr="00DA1300">
        <w:rPr>
          <w:rFonts w:eastAsia="Times New Roman"/>
          <w:sz w:val="24"/>
          <w:szCs w:val="24"/>
        </w:rPr>
        <w:t xml:space="preserve">. </w:t>
      </w:r>
      <w:r w:rsidR="007B0D57" w:rsidRPr="00DA1300">
        <w:rPr>
          <w:rFonts w:eastAsia="Times New Roman"/>
          <w:sz w:val="24"/>
          <w:szCs w:val="24"/>
        </w:rPr>
        <w:t>4,</w:t>
      </w:r>
      <w:r w:rsidR="003F0E8F" w:rsidRPr="00DA1300">
        <w:rPr>
          <w:rFonts w:eastAsia="Times New Roman"/>
          <w:sz w:val="24"/>
          <w:szCs w:val="24"/>
        </w:rPr>
        <w:t xml:space="preserve"> </w:t>
      </w:r>
      <w:r w:rsidR="007B0D57" w:rsidRPr="00DA1300">
        <w:rPr>
          <w:rFonts w:eastAsia="Times New Roman"/>
          <w:sz w:val="24"/>
          <w:szCs w:val="24"/>
        </w:rPr>
        <w:t>2014,</w:t>
      </w:r>
      <w:r w:rsidR="003F0E8F" w:rsidRPr="00DA1300">
        <w:rPr>
          <w:rFonts w:eastAsia="Times New Roman"/>
          <w:sz w:val="24"/>
          <w:szCs w:val="24"/>
        </w:rPr>
        <w:t xml:space="preserve"> </w:t>
      </w:r>
      <w:r w:rsidR="00642980" w:rsidRPr="00DA1300">
        <w:rPr>
          <w:rFonts w:eastAsia="Times New Roman"/>
          <w:sz w:val="24"/>
          <w:szCs w:val="24"/>
        </w:rPr>
        <w:t>available</w:t>
      </w:r>
      <w:r w:rsidR="003F0E8F" w:rsidRPr="00DA1300">
        <w:rPr>
          <w:rFonts w:eastAsia="Times New Roman"/>
          <w:sz w:val="24"/>
          <w:szCs w:val="24"/>
        </w:rPr>
        <w:t xml:space="preserve"> </w:t>
      </w:r>
      <w:r w:rsidR="007B0D57" w:rsidRPr="00DA1300">
        <w:rPr>
          <w:rFonts w:eastAsia="Times New Roman"/>
          <w:sz w:val="24"/>
          <w:szCs w:val="24"/>
        </w:rPr>
        <w:t>at</w:t>
      </w:r>
      <w:r w:rsidR="00D8305A" w:rsidRPr="00DA1300">
        <w:rPr>
          <w:rFonts w:eastAsia="Times New Roman"/>
          <w:sz w:val="24"/>
          <w:szCs w:val="24"/>
        </w:rPr>
        <w:t xml:space="preserve"> </w:t>
      </w:r>
      <w:r w:rsidR="00642980" w:rsidRPr="00DA1300">
        <w:rPr>
          <w:rFonts w:eastAsia="Times New Roman"/>
          <w:sz w:val="24"/>
          <w:szCs w:val="24"/>
        </w:rPr>
        <w:t>https://www.law.com/newyorklawjournal/almID/1202677999322/admissibility-of-prior-consistent-statement/).</w:t>
      </w:r>
    </w:p>
    <w:p w14:paraId="3C05DDA9" w14:textId="77777777" w:rsidR="00ED0A67" w:rsidRPr="00DA1300" w:rsidRDefault="00ED0A67" w:rsidP="00DE7A0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757ADF1" w14:textId="0708B6D7" w:rsidR="008E25C0" w:rsidRPr="00DA1300" w:rsidRDefault="00DE7A0F" w:rsidP="00DE7A0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DA1300">
        <w:rPr>
          <w:rFonts w:ascii="Times New Roman" w:hAnsi="Times New Roman" w:cs="Times New Roman"/>
          <w:sz w:val="24"/>
          <w:szCs w:val="24"/>
        </w:rPr>
        <w:tab/>
      </w:r>
      <w:r w:rsidR="008E25C0" w:rsidRPr="00DA1300">
        <w:rPr>
          <w:rFonts w:ascii="Times New Roman" w:hAnsi="Times New Roman" w:cs="Times New Roman"/>
          <w:sz w:val="24"/>
          <w:szCs w:val="24"/>
        </w:rPr>
        <w:t>As stated by the Court of Appeals, “[t]his exception is rooted in fairness; it would be unjust to permit a party to suggest that a witness, as a result of interest, bias or influence, is fabricating a story without allowing the opponent to demonstrate that the witness had spoken similarly even before the alleged incentive to falsify arose</w:t>
      </w:r>
      <w:r w:rsidR="00792464" w:rsidRPr="00DA1300">
        <w:rPr>
          <w:rFonts w:ascii="Times New Roman" w:hAnsi="Times New Roman" w:cs="Times New Roman"/>
          <w:sz w:val="24"/>
          <w:szCs w:val="24"/>
        </w:rPr>
        <w:t>”</w:t>
      </w:r>
      <w:r w:rsidR="008E25C0" w:rsidRPr="00DA1300">
        <w:rPr>
          <w:rFonts w:ascii="Times New Roman" w:hAnsi="Times New Roman" w:cs="Times New Roman"/>
          <w:sz w:val="24"/>
          <w:szCs w:val="24"/>
        </w:rPr>
        <w:t xml:space="preserve"> (</w:t>
      </w:r>
      <w:r w:rsidR="008E25C0" w:rsidRPr="00DA1300">
        <w:rPr>
          <w:rFonts w:ascii="Times New Roman" w:hAnsi="Times New Roman" w:cs="Times New Roman"/>
          <w:i/>
          <w:iCs/>
          <w:sz w:val="24"/>
          <w:szCs w:val="24"/>
        </w:rPr>
        <w:t>People v McDaniel</w:t>
      </w:r>
      <w:r w:rsidR="008E25C0" w:rsidRPr="00DA1300">
        <w:rPr>
          <w:rFonts w:ascii="Times New Roman" w:hAnsi="Times New Roman" w:cs="Times New Roman"/>
          <w:sz w:val="24"/>
          <w:szCs w:val="24"/>
        </w:rPr>
        <w:t xml:space="preserve">, 81 NY2d </w:t>
      </w:r>
      <w:r w:rsidR="007F7ABD" w:rsidRPr="00DA1300">
        <w:rPr>
          <w:rFonts w:ascii="Times New Roman" w:hAnsi="Times New Roman" w:cs="Times New Roman"/>
          <w:sz w:val="24"/>
          <w:szCs w:val="24"/>
        </w:rPr>
        <w:t xml:space="preserve">at </w:t>
      </w:r>
      <w:r w:rsidR="008E25C0" w:rsidRPr="00DA1300">
        <w:rPr>
          <w:rFonts w:ascii="Times New Roman" w:hAnsi="Times New Roman" w:cs="Times New Roman"/>
          <w:sz w:val="24"/>
          <w:szCs w:val="24"/>
        </w:rPr>
        <w:t>18).</w:t>
      </w:r>
    </w:p>
    <w:p w14:paraId="19B8B172" w14:textId="77777777" w:rsidR="008E25C0" w:rsidRPr="00DA1300" w:rsidRDefault="008E25C0" w:rsidP="005510B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D7C3369" w14:textId="7C2E30EF" w:rsidR="008E25C0" w:rsidRPr="00DA1300" w:rsidRDefault="00DE7A0F" w:rsidP="00DE7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A1300">
        <w:rPr>
          <w:sz w:val="24"/>
          <w:szCs w:val="24"/>
        </w:rPr>
        <w:tab/>
      </w:r>
      <w:r w:rsidR="008E25C0" w:rsidRPr="00DA1300">
        <w:rPr>
          <w:sz w:val="24"/>
          <w:szCs w:val="24"/>
        </w:rPr>
        <w:t xml:space="preserve">The “recent fabrication” </w:t>
      </w:r>
      <w:r w:rsidR="00617CDB" w:rsidRPr="00DA1300">
        <w:rPr>
          <w:sz w:val="24"/>
          <w:szCs w:val="24"/>
        </w:rPr>
        <w:t>e</w:t>
      </w:r>
      <w:r w:rsidR="00F700A6" w:rsidRPr="00DA1300">
        <w:rPr>
          <w:sz w:val="24"/>
          <w:szCs w:val="24"/>
        </w:rPr>
        <w:t xml:space="preserve">xception </w:t>
      </w:r>
      <w:r w:rsidR="008E25C0" w:rsidRPr="00DA1300">
        <w:rPr>
          <w:sz w:val="24"/>
          <w:szCs w:val="24"/>
        </w:rPr>
        <w:t>for admissibility</w:t>
      </w:r>
      <w:r w:rsidR="005F16F9" w:rsidRPr="00DA1300">
        <w:rPr>
          <w:sz w:val="24"/>
          <w:szCs w:val="24"/>
        </w:rPr>
        <w:t xml:space="preserve"> of a prior consistent statement</w:t>
      </w:r>
      <w:r w:rsidR="008E25C0" w:rsidRPr="00DA1300">
        <w:rPr>
          <w:sz w:val="24"/>
          <w:szCs w:val="24"/>
        </w:rPr>
        <w:t xml:space="preserve"> is derived from the substantial Court of Appeals precedent which holds that a prior consistent statement is admissible where the “cross-examiner has created the inference of, or directly characterized the testimony as, a recent fabrication</w:t>
      </w:r>
      <w:r w:rsidR="00792464" w:rsidRPr="00DA1300">
        <w:rPr>
          <w:sz w:val="24"/>
          <w:szCs w:val="24"/>
        </w:rPr>
        <w:t>”</w:t>
      </w:r>
      <w:r w:rsidR="008E25C0" w:rsidRPr="00DA1300">
        <w:rPr>
          <w:sz w:val="24"/>
          <w:szCs w:val="24"/>
        </w:rPr>
        <w:t xml:space="preserve"> (</w:t>
      </w:r>
      <w:r w:rsidR="008E25C0" w:rsidRPr="00DA1300">
        <w:rPr>
          <w:i/>
          <w:iCs/>
          <w:sz w:val="24"/>
          <w:szCs w:val="24"/>
        </w:rPr>
        <w:t>People v Davis</w:t>
      </w:r>
      <w:r w:rsidR="008E25C0" w:rsidRPr="00DA1300">
        <w:rPr>
          <w:sz w:val="24"/>
          <w:szCs w:val="24"/>
        </w:rPr>
        <w:t xml:space="preserve">, 44 NY2d 269, 277 [1978]; </w:t>
      </w:r>
      <w:r w:rsidR="008E25C0" w:rsidRPr="00DA1300">
        <w:rPr>
          <w:i/>
          <w:iCs/>
          <w:sz w:val="24"/>
          <w:szCs w:val="24"/>
        </w:rPr>
        <w:t>see Fishman v Scheuer</w:t>
      </w:r>
      <w:r w:rsidR="008E25C0" w:rsidRPr="00DA1300">
        <w:rPr>
          <w:sz w:val="24"/>
          <w:szCs w:val="24"/>
        </w:rPr>
        <w:t xml:space="preserve">, 39 NY2d 502, 504 [1976] [“The plaintiff had not attempted to assert that the testimony of [the] witness was a recent fabrication. In the absence of such claim, prior consistent statements are inadmissible”]; </w:t>
      </w:r>
      <w:r w:rsidR="008E25C0" w:rsidRPr="00DA1300">
        <w:rPr>
          <w:i/>
          <w:iCs/>
          <w:sz w:val="24"/>
          <w:szCs w:val="24"/>
        </w:rPr>
        <w:t>Crawford v Nilan</w:t>
      </w:r>
      <w:r w:rsidR="008E25C0" w:rsidRPr="00DA1300">
        <w:rPr>
          <w:sz w:val="24"/>
          <w:szCs w:val="24"/>
        </w:rPr>
        <w:t xml:space="preserve">, 289 NY 444, 450-451 [1943]; </w:t>
      </w:r>
      <w:r w:rsidR="00BC4BED" w:rsidRPr="00DA1300">
        <w:rPr>
          <w:i/>
          <w:iCs/>
          <w:sz w:val="24"/>
          <w:szCs w:val="24"/>
        </w:rPr>
        <w:t>People v S</w:t>
      </w:r>
      <w:r w:rsidR="008E25C0" w:rsidRPr="00DA1300">
        <w:rPr>
          <w:i/>
          <w:iCs/>
          <w:sz w:val="24"/>
          <w:szCs w:val="24"/>
        </w:rPr>
        <w:t>eit</w:t>
      </w:r>
      <w:r w:rsidR="008E25C0" w:rsidRPr="00DA1300">
        <w:rPr>
          <w:sz w:val="24"/>
          <w:szCs w:val="24"/>
        </w:rPr>
        <w:t xml:space="preserve">, 86 NY2d </w:t>
      </w:r>
      <w:r w:rsidR="00BC4BED" w:rsidRPr="00DA1300">
        <w:rPr>
          <w:sz w:val="24"/>
          <w:szCs w:val="24"/>
        </w:rPr>
        <w:t>92,</w:t>
      </w:r>
      <w:r w:rsidR="008E25C0" w:rsidRPr="00DA1300">
        <w:rPr>
          <w:sz w:val="24"/>
          <w:szCs w:val="24"/>
        </w:rPr>
        <w:t xml:space="preserve"> 96</w:t>
      </w:r>
      <w:r w:rsidR="00BC4BED" w:rsidRPr="00DA1300">
        <w:rPr>
          <w:sz w:val="24"/>
          <w:szCs w:val="24"/>
        </w:rPr>
        <w:t xml:space="preserve"> [1995]</w:t>
      </w:r>
      <w:r w:rsidR="008E25C0" w:rsidRPr="00DA1300">
        <w:rPr>
          <w:sz w:val="24"/>
          <w:szCs w:val="24"/>
        </w:rPr>
        <w:t xml:space="preserve"> [“The implication that the testimony was recently fabricated arises only if it appears that the cross-examiner believes and wants the jury to believe that the witness is testifying falsely to ‘meet the exigencies of the case’ ” (citing </w:t>
      </w:r>
      <w:r w:rsidR="008E25C0" w:rsidRPr="00DA1300">
        <w:rPr>
          <w:i/>
          <w:iCs/>
          <w:sz w:val="24"/>
          <w:szCs w:val="24"/>
        </w:rPr>
        <w:t>People v Katz</w:t>
      </w:r>
      <w:r w:rsidR="008E25C0" w:rsidRPr="00DA1300">
        <w:rPr>
          <w:sz w:val="24"/>
          <w:szCs w:val="24"/>
        </w:rPr>
        <w:t>, 209 NY 311, 340 [1913])]).</w:t>
      </w:r>
      <w:r w:rsidR="00486A50" w:rsidRPr="00DA1300">
        <w:rPr>
          <w:sz w:val="24"/>
          <w:szCs w:val="24"/>
        </w:rPr>
        <w:t xml:space="preserve"> </w:t>
      </w:r>
      <w:r w:rsidR="008E25C0" w:rsidRPr="00DA1300">
        <w:rPr>
          <w:sz w:val="24"/>
          <w:szCs w:val="24"/>
        </w:rPr>
        <w:t>The further condition for admissibility that the statement was made before the charged fabrication is also derived from substantial Court of Appeals precedent (</w:t>
      </w:r>
      <w:r w:rsidR="008E25C0" w:rsidRPr="00DA1300">
        <w:rPr>
          <w:i/>
          <w:iCs/>
          <w:sz w:val="24"/>
          <w:szCs w:val="24"/>
        </w:rPr>
        <w:t>see Davis</w:t>
      </w:r>
      <w:r w:rsidR="008E25C0" w:rsidRPr="00DA1300">
        <w:rPr>
          <w:sz w:val="24"/>
          <w:szCs w:val="24"/>
        </w:rPr>
        <w:t>, 44 NY2d at 277 [“prior consistent statements made at a time when there was no motive to falsify are admissible to repel the implication or charge”]).</w:t>
      </w:r>
    </w:p>
    <w:p w14:paraId="18405807" w14:textId="77777777" w:rsidR="006E1BF8" w:rsidRPr="00DA1300" w:rsidRDefault="006E1BF8" w:rsidP="00DE7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9E609CF" w14:textId="3C9ECBEB" w:rsidR="008E25C0" w:rsidRPr="00DA1300" w:rsidRDefault="00DE7A0F" w:rsidP="00DE7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A1300">
        <w:rPr>
          <w:sz w:val="24"/>
          <w:szCs w:val="24"/>
        </w:rPr>
        <w:tab/>
      </w:r>
      <w:r w:rsidR="008E25C0" w:rsidRPr="00DA1300">
        <w:rPr>
          <w:sz w:val="24"/>
          <w:szCs w:val="24"/>
        </w:rPr>
        <w:t xml:space="preserve">Consistent with the “recent fabrication” condition, the Court of Appeals has noted that mere impeachment with a prior inconsistent statement or other attack on the credibility of a witness is an insufficient basis for admitting a prior consistent </w:t>
      </w:r>
      <w:r w:rsidR="008E25C0" w:rsidRPr="00DA1300">
        <w:rPr>
          <w:sz w:val="24"/>
          <w:szCs w:val="24"/>
        </w:rPr>
        <w:lastRenderedPageBreak/>
        <w:t>statement (</w:t>
      </w:r>
      <w:r w:rsidR="008E25C0" w:rsidRPr="00DA1300">
        <w:rPr>
          <w:i/>
          <w:iCs/>
          <w:sz w:val="24"/>
          <w:szCs w:val="24"/>
        </w:rPr>
        <w:t>People v Ramos</w:t>
      </w:r>
      <w:r w:rsidR="008E25C0" w:rsidRPr="00DA1300">
        <w:rPr>
          <w:sz w:val="24"/>
          <w:szCs w:val="24"/>
        </w:rPr>
        <w:t xml:space="preserve">, 70 NY2d 639 [1987]; </w:t>
      </w:r>
      <w:r w:rsidR="008E25C0" w:rsidRPr="00DA1300">
        <w:rPr>
          <w:i/>
          <w:iCs/>
          <w:sz w:val="24"/>
          <w:szCs w:val="24"/>
        </w:rPr>
        <w:t>Crawford</w:t>
      </w:r>
      <w:r w:rsidR="008E25C0" w:rsidRPr="00DA1300">
        <w:rPr>
          <w:sz w:val="24"/>
          <w:szCs w:val="24"/>
        </w:rPr>
        <w:t>, 289 NY at 450 [“testimony of an impeached or discredited witness may not be supported and bolstered by proving that he has made similar declarations out of court”]).</w:t>
      </w:r>
    </w:p>
    <w:p w14:paraId="691338F1" w14:textId="77777777" w:rsidR="00792464" w:rsidRPr="00DA1300" w:rsidRDefault="00792464" w:rsidP="00DE7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17C6CB0" w14:textId="1920DB47" w:rsidR="008E25C0" w:rsidRPr="00DA1300" w:rsidRDefault="00DE7A0F" w:rsidP="00DE7A0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DA1300">
        <w:rPr>
          <w:rFonts w:ascii="Times New Roman" w:hAnsi="Times New Roman" w:cs="Times New Roman"/>
          <w:sz w:val="24"/>
          <w:szCs w:val="24"/>
        </w:rPr>
        <w:tab/>
      </w:r>
      <w:r w:rsidR="008E25C0" w:rsidRPr="00DA1300">
        <w:rPr>
          <w:rFonts w:ascii="Times New Roman" w:hAnsi="Times New Roman" w:cs="Times New Roman"/>
          <w:sz w:val="24"/>
          <w:szCs w:val="24"/>
        </w:rPr>
        <w:t xml:space="preserve">When a prior consistent statement is admissible under the exception recognized by this section, the Court of Appeals has noted that the statement </w:t>
      </w:r>
      <w:r w:rsidR="001A4AAE" w:rsidRPr="00DA1300">
        <w:rPr>
          <w:rFonts w:ascii="Times New Roman" w:eastAsia="Times New Roman" w:hAnsi="Times New Roman" w:cs="Times New Roman"/>
          <w:sz w:val="24"/>
          <w:szCs w:val="24"/>
        </w:rPr>
        <w:t xml:space="preserve">“may be admitted, not to prove or disprove any of the facts in issue, but </w:t>
      </w:r>
      <w:bookmarkStart w:id="1" w:name="_Hlk93403785"/>
      <w:r w:rsidR="001A4AAE" w:rsidRPr="00DA1300">
        <w:rPr>
          <w:rFonts w:ascii="Times New Roman" w:eastAsia="Times New Roman" w:hAnsi="Times New Roman" w:cs="Times New Roman"/>
          <w:sz w:val="24"/>
          <w:szCs w:val="24"/>
        </w:rPr>
        <w:t>to aid in establishing the credibility of the witness</w:t>
      </w:r>
      <w:bookmarkEnd w:id="1"/>
      <w:r w:rsidR="001A4AAE" w:rsidRPr="00DA1300">
        <w:rPr>
          <w:rFonts w:ascii="Times New Roman" w:eastAsia="Times New Roman" w:hAnsi="Times New Roman" w:cs="Times New Roman"/>
          <w:sz w:val="24"/>
          <w:szCs w:val="24"/>
        </w:rPr>
        <w:t xml:space="preserve">” </w:t>
      </w:r>
      <w:r w:rsidR="008E25C0" w:rsidRPr="00DA1300">
        <w:rPr>
          <w:rFonts w:ascii="Times New Roman" w:hAnsi="Times New Roman" w:cs="Times New Roman"/>
          <w:sz w:val="24"/>
          <w:szCs w:val="24"/>
        </w:rPr>
        <w:t>(</w:t>
      </w:r>
      <w:r w:rsidR="0007002C" w:rsidRPr="00DA1300">
        <w:rPr>
          <w:rFonts w:ascii="Times New Roman" w:hAnsi="Times New Roman" w:cs="Times New Roman"/>
          <w:i/>
          <w:iCs/>
          <w:sz w:val="24"/>
          <w:szCs w:val="24"/>
        </w:rPr>
        <w:t>People v McClean</w:t>
      </w:r>
      <w:r w:rsidR="0007002C" w:rsidRPr="00DA1300">
        <w:rPr>
          <w:rFonts w:ascii="Times New Roman" w:hAnsi="Times New Roman" w:cs="Times New Roman"/>
          <w:sz w:val="24"/>
          <w:szCs w:val="24"/>
        </w:rPr>
        <w:t xml:space="preserve">, 69 NY2d 426, 428 [1987]; </w:t>
      </w:r>
      <w:r w:rsidR="008E25C0" w:rsidRPr="00DA1300">
        <w:rPr>
          <w:rFonts w:ascii="Times New Roman" w:hAnsi="Times New Roman" w:cs="Times New Roman"/>
          <w:i/>
          <w:iCs/>
          <w:sz w:val="24"/>
          <w:szCs w:val="24"/>
        </w:rPr>
        <w:t>People v McDaniel</w:t>
      </w:r>
      <w:r w:rsidR="008E25C0" w:rsidRPr="00DA1300">
        <w:rPr>
          <w:rFonts w:ascii="Times New Roman" w:hAnsi="Times New Roman" w:cs="Times New Roman"/>
          <w:sz w:val="24"/>
          <w:szCs w:val="24"/>
        </w:rPr>
        <w:t>, 81 NY2d 10,</w:t>
      </w:r>
      <w:r w:rsidR="0007002C" w:rsidRPr="00DA1300">
        <w:rPr>
          <w:rFonts w:ascii="Times New Roman" w:hAnsi="Times New Roman" w:cs="Times New Roman"/>
          <w:sz w:val="24"/>
          <w:szCs w:val="24"/>
        </w:rPr>
        <w:t xml:space="preserve"> </w:t>
      </w:r>
      <w:r w:rsidR="008E25C0" w:rsidRPr="00DA1300">
        <w:rPr>
          <w:rFonts w:ascii="Times New Roman" w:hAnsi="Times New Roman" w:cs="Times New Roman"/>
          <w:sz w:val="24"/>
          <w:szCs w:val="24"/>
        </w:rPr>
        <w:t xml:space="preserve">18 [1993]). </w:t>
      </w:r>
    </w:p>
    <w:p w14:paraId="2CAE0BEA" w14:textId="77777777" w:rsidR="00070B46" w:rsidRPr="00DA1300" w:rsidRDefault="00070B46" w:rsidP="00DE7A0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7C74D5B" w14:textId="13184261" w:rsidR="00070B46" w:rsidRPr="00DA1300" w:rsidRDefault="00DE7A0F" w:rsidP="00DE7A0F">
      <w:pPr>
        <w:tabs>
          <w:tab w:val="left" w:pos="720"/>
        </w:tabs>
        <w:snapToGrid w:val="0"/>
        <w:jc w:val="both"/>
        <w:rPr>
          <w:rFonts w:eastAsia="Times New Roman"/>
          <w:sz w:val="24"/>
          <w:szCs w:val="24"/>
        </w:rPr>
      </w:pPr>
      <w:r w:rsidRPr="00DA1300">
        <w:rPr>
          <w:rFonts w:eastAsia="Times New Roman"/>
          <w:sz w:val="24"/>
          <w:szCs w:val="24"/>
        </w:rPr>
        <w:tab/>
      </w:r>
      <w:r w:rsidR="00070B46" w:rsidRPr="00DA1300">
        <w:rPr>
          <w:rFonts w:eastAsia="Times New Roman"/>
          <w:sz w:val="24"/>
          <w:szCs w:val="24"/>
        </w:rPr>
        <w:t xml:space="preserve">Proof of the prior consistent statement(s) may be testified </w:t>
      </w:r>
      <w:r w:rsidR="001A4AAE" w:rsidRPr="00DA1300">
        <w:rPr>
          <w:rFonts w:eastAsia="Times New Roman"/>
          <w:sz w:val="24"/>
          <w:szCs w:val="24"/>
        </w:rPr>
        <w:t xml:space="preserve">to </w:t>
      </w:r>
      <w:r w:rsidR="00070B46" w:rsidRPr="00DA1300">
        <w:rPr>
          <w:rFonts w:eastAsia="Times New Roman"/>
          <w:sz w:val="24"/>
          <w:szCs w:val="24"/>
        </w:rPr>
        <w:t xml:space="preserve">by the witness or otherwise by “independent verification of the prior statements” </w:t>
      </w:r>
      <w:r w:rsidR="00775262" w:rsidRPr="00DA1300">
        <w:rPr>
          <w:rFonts w:eastAsia="Times New Roman"/>
          <w:sz w:val="24"/>
          <w:szCs w:val="24"/>
        </w:rPr>
        <w:t>(</w:t>
      </w:r>
      <w:r w:rsidR="00070B46" w:rsidRPr="00DA1300">
        <w:rPr>
          <w:rFonts w:eastAsia="Times New Roman"/>
          <w:i/>
          <w:iCs/>
          <w:sz w:val="24"/>
          <w:szCs w:val="24"/>
        </w:rPr>
        <w:t>People v Mirenda</w:t>
      </w:r>
      <w:r w:rsidR="00070B46" w:rsidRPr="00DA1300">
        <w:rPr>
          <w:rFonts w:eastAsia="Times New Roman"/>
          <w:sz w:val="24"/>
          <w:szCs w:val="24"/>
        </w:rPr>
        <w:t xml:space="preserve">, 23 NY2d 439, 452 [1969] [“We see no reason why a witness cannot attempt to rehabilitate himself by testifying to prior consistent statements after a claim of recent fabrication. It is open to the adversary, of course, to point out to the jury that this rehabilitation testimony is a less reliable indication of veracity than if independent verification of the prior statements had been offered”]; </w:t>
      </w:r>
      <w:r w:rsidR="00070B46" w:rsidRPr="00DA1300">
        <w:rPr>
          <w:rFonts w:eastAsia="Times New Roman"/>
          <w:i/>
          <w:iCs/>
          <w:sz w:val="24"/>
          <w:szCs w:val="24"/>
        </w:rPr>
        <w:t>see</w:t>
      </w:r>
      <w:r w:rsidR="00070B46" w:rsidRPr="00DA1300">
        <w:rPr>
          <w:rFonts w:eastAsia="Times New Roman"/>
          <w:sz w:val="24"/>
          <w:szCs w:val="24"/>
        </w:rPr>
        <w:t xml:space="preserve"> </w:t>
      </w:r>
      <w:r w:rsidR="00070B46" w:rsidRPr="00DA1300">
        <w:rPr>
          <w:rFonts w:eastAsia="Times New Roman"/>
          <w:i/>
          <w:iCs/>
          <w:sz w:val="24"/>
          <w:szCs w:val="24"/>
        </w:rPr>
        <w:t>People v Maldonado</w:t>
      </w:r>
      <w:r w:rsidR="00070B46" w:rsidRPr="00DA1300">
        <w:rPr>
          <w:rFonts w:eastAsia="Times New Roman"/>
          <w:sz w:val="24"/>
          <w:szCs w:val="24"/>
        </w:rPr>
        <w:t>,</w:t>
      </w:r>
      <w:r w:rsidR="00070B46" w:rsidRPr="00DA1300">
        <w:rPr>
          <w:rFonts w:eastAsia="Times New Roman"/>
          <w:i/>
          <w:iCs/>
          <w:sz w:val="24"/>
          <w:szCs w:val="24"/>
        </w:rPr>
        <w:t xml:space="preserve"> </w:t>
      </w:r>
      <w:r w:rsidR="00070B46" w:rsidRPr="00DA1300">
        <w:rPr>
          <w:rFonts w:eastAsia="Times New Roman"/>
          <w:sz w:val="24"/>
          <w:szCs w:val="24"/>
        </w:rPr>
        <w:t>97 NY2d 522, 529 [2002] [“composite sketch may be admissible as a prior consistent statement where the testimony of an identifying witness is assailed as a recent fabrication”];</w:t>
      </w:r>
      <w:r w:rsidR="00070B46" w:rsidRPr="00DA1300">
        <w:rPr>
          <w:rFonts w:eastAsia="Times New Roman"/>
          <w:i/>
          <w:iCs/>
          <w:sz w:val="24"/>
          <w:szCs w:val="24"/>
        </w:rPr>
        <w:t xml:space="preserve"> Seit</w:t>
      </w:r>
      <w:r w:rsidR="00070B46" w:rsidRPr="00DA1300">
        <w:rPr>
          <w:rFonts w:eastAsia="Times New Roman"/>
          <w:sz w:val="24"/>
          <w:szCs w:val="24"/>
        </w:rPr>
        <w:t xml:space="preserve">, 86 NY2d at 98 [a 911 tape should have been admitted in response to a claim of recent fabrication]; </w:t>
      </w:r>
      <w:r w:rsidR="002B5C8E" w:rsidRPr="00DA1300">
        <w:rPr>
          <w:rFonts w:eastAsia="Times New Roman"/>
          <w:i/>
          <w:iCs/>
          <w:sz w:val="24"/>
          <w:szCs w:val="24"/>
        </w:rPr>
        <w:t>People v B</w:t>
      </w:r>
      <w:r w:rsidR="00070B46" w:rsidRPr="00DA1300">
        <w:rPr>
          <w:rFonts w:eastAsia="Times New Roman"/>
          <w:i/>
          <w:iCs/>
          <w:sz w:val="24"/>
          <w:szCs w:val="24"/>
        </w:rPr>
        <w:t>aker</w:t>
      </w:r>
      <w:r w:rsidR="00070B46" w:rsidRPr="00DA1300">
        <w:rPr>
          <w:rFonts w:eastAsia="Times New Roman"/>
          <w:sz w:val="24"/>
          <w:szCs w:val="24"/>
        </w:rPr>
        <w:t xml:space="preserve">, 23 NY2d </w:t>
      </w:r>
      <w:r w:rsidR="002B5C8E" w:rsidRPr="00DA1300">
        <w:rPr>
          <w:rFonts w:eastAsia="Times New Roman"/>
          <w:sz w:val="24"/>
          <w:szCs w:val="24"/>
        </w:rPr>
        <w:t>307,</w:t>
      </w:r>
      <w:r w:rsidR="00070B46" w:rsidRPr="00DA1300">
        <w:rPr>
          <w:rFonts w:eastAsia="Times New Roman"/>
          <w:sz w:val="24"/>
          <w:szCs w:val="24"/>
        </w:rPr>
        <w:t xml:space="preserve"> 323</w:t>
      </w:r>
      <w:r w:rsidR="002B5C8E" w:rsidRPr="00DA1300">
        <w:rPr>
          <w:rFonts w:eastAsia="Times New Roman"/>
          <w:sz w:val="24"/>
          <w:szCs w:val="24"/>
        </w:rPr>
        <w:t xml:space="preserve"> [1968]</w:t>
      </w:r>
      <w:r w:rsidR="00070B46" w:rsidRPr="00DA1300">
        <w:rPr>
          <w:rFonts w:eastAsia="Times New Roman"/>
          <w:sz w:val="24"/>
          <w:szCs w:val="24"/>
        </w:rPr>
        <w:t xml:space="preserve"> [approving testimony by the witness and the person to whom the prior consistent statements were made]</w:t>
      </w:r>
      <w:r w:rsidR="00906E7F" w:rsidRPr="00DA1300">
        <w:rPr>
          <w:rFonts w:eastAsia="Times New Roman"/>
          <w:sz w:val="24"/>
          <w:szCs w:val="24"/>
        </w:rPr>
        <w:t>)</w:t>
      </w:r>
      <w:r w:rsidR="00070B46" w:rsidRPr="00DA1300">
        <w:rPr>
          <w:rFonts w:eastAsia="Times New Roman"/>
          <w:sz w:val="24"/>
          <w:szCs w:val="24"/>
        </w:rPr>
        <w:t>.</w:t>
      </w:r>
    </w:p>
    <w:p w14:paraId="226D23C1" w14:textId="77777777" w:rsidR="00640AC2" w:rsidRPr="00DA1300" w:rsidRDefault="00640AC2" w:rsidP="00DE7A0F">
      <w:pPr>
        <w:snapToGrid w:val="0"/>
        <w:jc w:val="both"/>
        <w:rPr>
          <w:rFonts w:eastAsia="Times New Roman"/>
          <w:sz w:val="24"/>
          <w:szCs w:val="24"/>
        </w:rPr>
      </w:pPr>
    </w:p>
    <w:p w14:paraId="77D83635" w14:textId="59C049F8" w:rsidR="00640AC2" w:rsidRPr="00DA1300" w:rsidRDefault="00DE7A0F" w:rsidP="00DE7A0F">
      <w:pPr>
        <w:widowControl/>
        <w:shd w:val="clear" w:color="auto" w:fill="FFFFFF"/>
        <w:tabs>
          <w:tab w:val="left" w:pos="720"/>
        </w:tabs>
        <w:autoSpaceDE/>
        <w:autoSpaceDN/>
        <w:adjustRightInd/>
        <w:jc w:val="both"/>
        <w:rPr>
          <w:rFonts w:eastAsia="Times New Roman"/>
          <w:sz w:val="24"/>
          <w:szCs w:val="24"/>
        </w:rPr>
      </w:pPr>
      <w:r w:rsidRPr="00DA1300">
        <w:rPr>
          <w:b/>
          <w:bCs/>
          <w:sz w:val="24"/>
          <w:szCs w:val="24"/>
        </w:rPr>
        <w:tab/>
      </w:r>
      <w:r w:rsidR="00640AC2" w:rsidRPr="00DA1300">
        <w:rPr>
          <w:b/>
          <w:bCs/>
          <w:sz w:val="24"/>
          <w:szCs w:val="24"/>
        </w:rPr>
        <w:t xml:space="preserve">Subdivision (3) </w:t>
      </w:r>
      <w:r w:rsidR="00640AC2" w:rsidRPr="00DA1300">
        <w:rPr>
          <w:sz w:val="24"/>
          <w:szCs w:val="24"/>
        </w:rPr>
        <w:t>is explained in the Guide to N</w:t>
      </w:r>
      <w:r w:rsidR="00471675" w:rsidRPr="00DA1300">
        <w:rPr>
          <w:sz w:val="24"/>
          <w:szCs w:val="24"/>
        </w:rPr>
        <w:t xml:space="preserve">ew </w:t>
      </w:r>
      <w:r w:rsidR="00640AC2" w:rsidRPr="00DA1300">
        <w:rPr>
          <w:sz w:val="24"/>
          <w:szCs w:val="24"/>
        </w:rPr>
        <w:t>Y</w:t>
      </w:r>
      <w:r w:rsidR="00471675" w:rsidRPr="00DA1300">
        <w:rPr>
          <w:sz w:val="24"/>
          <w:szCs w:val="24"/>
        </w:rPr>
        <w:t>ork</w:t>
      </w:r>
      <w:r w:rsidR="00640AC2" w:rsidRPr="00DA1300">
        <w:rPr>
          <w:sz w:val="24"/>
          <w:szCs w:val="24"/>
        </w:rPr>
        <w:t xml:space="preserve"> Evidence </w:t>
      </w:r>
      <w:r w:rsidR="00471675" w:rsidRPr="00DA1300">
        <w:rPr>
          <w:sz w:val="24"/>
          <w:szCs w:val="24"/>
        </w:rPr>
        <w:t>r</w:t>
      </w:r>
      <w:r w:rsidR="00640AC2" w:rsidRPr="00DA1300">
        <w:rPr>
          <w:sz w:val="24"/>
          <w:szCs w:val="24"/>
        </w:rPr>
        <w:t xml:space="preserve">ule 8.37 (Prompt Outcry) </w:t>
      </w:r>
      <w:r w:rsidR="008F0318" w:rsidRPr="00DA1300">
        <w:rPr>
          <w:sz w:val="24"/>
          <w:szCs w:val="24"/>
        </w:rPr>
        <w:t>(</w:t>
      </w:r>
      <w:r w:rsidR="00052B3F" w:rsidRPr="00DA1300">
        <w:rPr>
          <w:sz w:val="24"/>
          <w:szCs w:val="24"/>
        </w:rPr>
        <w:t>s</w:t>
      </w:r>
      <w:r w:rsidR="00640AC2" w:rsidRPr="00DA1300">
        <w:rPr>
          <w:i/>
          <w:iCs/>
          <w:sz w:val="24"/>
          <w:szCs w:val="24"/>
        </w:rPr>
        <w:t>ee</w:t>
      </w:r>
      <w:r w:rsidR="00640AC2" w:rsidRPr="00DA1300">
        <w:rPr>
          <w:sz w:val="24"/>
          <w:szCs w:val="24"/>
        </w:rPr>
        <w:t xml:space="preserve"> </w:t>
      </w:r>
      <w:r w:rsidR="00640AC2" w:rsidRPr="00DA1300">
        <w:rPr>
          <w:rFonts w:eastAsia="Times New Roman"/>
          <w:i/>
          <w:iCs/>
          <w:sz w:val="24"/>
          <w:szCs w:val="24"/>
        </w:rPr>
        <w:t>People v Rosario</w:t>
      </w:r>
      <w:r w:rsidR="00640AC2" w:rsidRPr="00DA1300">
        <w:rPr>
          <w:rFonts w:eastAsia="Times New Roman"/>
          <w:sz w:val="24"/>
          <w:szCs w:val="24"/>
        </w:rPr>
        <w:t>, 17 NY3d 501, 511 [2011] [“The prompt outcry rule—an exception to the inadmissibility of the prior consistent statements of an unimpeached witness—</w:t>
      </w:r>
      <w:r w:rsidR="007A29A9" w:rsidRPr="00DA1300">
        <w:rPr>
          <w:rFonts w:eastAsia="Times New Roman"/>
          <w:sz w:val="24"/>
          <w:szCs w:val="24"/>
        </w:rPr>
        <w:t>‘</w:t>
      </w:r>
      <w:r w:rsidR="00640AC2" w:rsidRPr="00DA1300">
        <w:rPr>
          <w:rFonts w:eastAsia="Times New Roman"/>
          <w:sz w:val="24"/>
          <w:szCs w:val="24"/>
        </w:rPr>
        <w:t xml:space="preserve">permits evidence that a timely complaint </w:t>
      </w:r>
      <w:r w:rsidR="00466E1A" w:rsidRPr="00DA1300">
        <w:rPr>
          <w:rFonts w:eastAsia="Times New Roman"/>
          <w:sz w:val="24"/>
          <w:szCs w:val="24"/>
        </w:rPr>
        <w:t>(</w:t>
      </w:r>
      <w:r w:rsidR="00640AC2" w:rsidRPr="00DA1300">
        <w:rPr>
          <w:rFonts w:eastAsia="Times New Roman"/>
          <w:sz w:val="24"/>
          <w:szCs w:val="24"/>
        </w:rPr>
        <w:t>of a sexual assault</w:t>
      </w:r>
      <w:r w:rsidR="00466E1A" w:rsidRPr="00DA1300">
        <w:rPr>
          <w:rFonts w:eastAsia="Times New Roman"/>
          <w:sz w:val="24"/>
          <w:szCs w:val="24"/>
        </w:rPr>
        <w:t>)</w:t>
      </w:r>
      <w:r w:rsidR="00640AC2" w:rsidRPr="00DA1300">
        <w:rPr>
          <w:rFonts w:eastAsia="Times New Roman"/>
          <w:sz w:val="24"/>
          <w:szCs w:val="24"/>
        </w:rPr>
        <w:t xml:space="preserve"> was made,’ but does not allow further testimony as to the ‘details of the incident’</w:t>
      </w:r>
      <w:r w:rsidR="00052B3F" w:rsidRPr="00DA1300">
        <w:rPr>
          <w:rFonts w:eastAsia="Times New Roman"/>
          <w:sz w:val="24"/>
          <w:szCs w:val="24"/>
        </w:rPr>
        <w:t xml:space="preserve"> </w:t>
      </w:r>
      <w:r w:rsidR="00640AC2" w:rsidRPr="00DA1300">
        <w:rPr>
          <w:rFonts w:eastAsia="Times New Roman"/>
          <w:sz w:val="24"/>
          <w:szCs w:val="24"/>
        </w:rPr>
        <w:t>” (citation omitted)]</w:t>
      </w:r>
      <w:r w:rsidR="00052B3F" w:rsidRPr="00DA1300">
        <w:rPr>
          <w:rFonts w:eastAsia="Times New Roman"/>
          <w:sz w:val="24"/>
          <w:szCs w:val="24"/>
        </w:rPr>
        <w:t>)</w:t>
      </w:r>
      <w:r w:rsidR="00640AC2" w:rsidRPr="00DA1300">
        <w:rPr>
          <w:rFonts w:eastAsia="Times New Roman"/>
          <w:sz w:val="24"/>
          <w:szCs w:val="24"/>
        </w:rPr>
        <w:t>.</w:t>
      </w:r>
    </w:p>
    <w:p w14:paraId="635A375D" w14:textId="77777777" w:rsidR="00640AC2" w:rsidRPr="00DA1300" w:rsidRDefault="00640AC2" w:rsidP="00DE7A0F">
      <w:pPr>
        <w:snapToGrid w:val="0"/>
        <w:jc w:val="both"/>
        <w:rPr>
          <w:rFonts w:eastAsia="Times New Roman"/>
          <w:sz w:val="24"/>
          <w:szCs w:val="24"/>
        </w:rPr>
      </w:pPr>
    </w:p>
    <w:p w14:paraId="0ED1022C" w14:textId="3EDD0647" w:rsidR="00D26FB8" w:rsidRPr="00DA1300" w:rsidRDefault="00DE7A0F" w:rsidP="00DE7A0F">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DA1300">
        <w:rPr>
          <w:rFonts w:ascii="Times New Roman" w:hAnsi="Times New Roman" w:cs="Times New Roman"/>
          <w:b/>
          <w:bCs/>
          <w:sz w:val="24"/>
          <w:szCs w:val="24"/>
        </w:rPr>
        <w:tab/>
      </w:r>
      <w:r w:rsidR="00991645" w:rsidRPr="00DA1300">
        <w:rPr>
          <w:rFonts w:ascii="Times New Roman" w:hAnsi="Times New Roman" w:cs="Times New Roman"/>
          <w:b/>
          <w:bCs/>
          <w:sz w:val="24"/>
          <w:szCs w:val="24"/>
        </w:rPr>
        <w:t>Subdivision (</w:t>
      </w:r>
      <w:r w:rsidR="00640AC2" w:rsidRPr="00DA1300">
        <w:rPr>
          <w:rFonts w:ascii="Times New Roman" w:hAnsi="Times New Roman" w:cs="Times New Roman"/>
          <w:b/>
          <w:bCs/>
          <w:sz w:val="24"/>
          <w:szCs w:val="24"/>
        </w:rPr>
        <w:t>4</w:t>
      </w:r>
      <w:r w:rsidR="00991645" w:rsidRPr="00DA1300">
        <w:rPr>
          <w:rFonts w:ascii="Times New Roman" w:hAnsi="Times New Roman" w:cs="Times New Roman"/>
          <w:b/>
          <w:bCs/>
          <w:sz w:val="24"/>
          <w:szCs w:val="24"/>
        </w:rPr>
        <w:t>)</w:t>
      </w:r>
      <w:r w:rsidR="00CF32A8" w:rsidRPr="00DA1300">
        <w:rPr>
          <w:rFonts w:ascii="Times New Roman" w:hAnsi="Times New Roman" w:cs="Times New Roman"/>
          <w:b/>
          <w:bCs/>
          <w:sz w:val="24"/>
          <w:szCs w:val="24"/>
        </w:rPr>
        <w:t xml:space="preserve"> </w:t>
      </w:r>
      <w:r w:rsidR="003D192F" w:rsidRPr="00DA1300">
        <w:rPr>
          <w:rFonts w:ascii="Times New Roman" w:hAnsi="Times New Roman" w:cs="Times New Roman"/>
          <w:sz w:val="24"/>
          <w:szCs w:val="24"/>
        </w:rPr>
        <w:t xml:space="preserve">is derived from </w:t>
      </w:r>
      <w:r w:rsidR="00052B3F" w:rsidRPr="00DA1300">
        <w:rPr>
          <w:rFonts w:ascii="Times New Roman" w:hAnsi="Times New Roman" w:cs="Times New Roman"/>
          <w:sz w:val="24"/>
          <w:szCs w:val="24"/>
        </w:rPr>
        <w:t xml:space="preserve">the </w:t>
      </w:r>
      <w:r w:rsidR="003D192F" w:rsidRPr="00DA1300">
        <w:rPr>
          <w:rFonts w:ascii="Times New Roman" w:hAnsi="Times New Roman" w:cs="Times New Roman"/>
          <w:sz w:val="24"/>
          <w:szCs w:val="24"/>
        </w:rPr>
        <w:t xml:space="preserve">Court of Appeals </w:t>
      </w:r>
      <w:r w:rsidR="00052B3F" w:rsidRPr="00DA1300">
        <w:rPr>
          <w:rFonts w:ascii="Times New Roman" w:hAnsi="Times New Roman" w:cs="Times New Roman"/>
          <w:sz w:val="24"/>
          <w:szCs w:val="24"/>
        </w:rPr>
        <w:t xml:space="preserve">decision </w:t>
      </w:r>
      <w:r w:rsidR="00214159" w:rsidRPr="00DA1300">
        <w:rPr>
          <w:rFonts w:ascii="Times New Roman" w:hAnsi="Times New Roman" w:cs="Times New Roman"/>
          <w:sz w:val="24"/>
          <w:szCs w:val="24"/>
        </w:rPr>
        <w:t>in</w:t>
      </w:r>
      <w:r w:rsidR="00991645" w:rsidRPr="00DA1300">
        <w:rPr>
          <w:rFonts w:ascii="Times New Roman" w:hAnsi="Times New Roman" w:cs="Times New Roman"/>
          <w:i/>
          <w:iCs/>
          <w:sz w:val="24"/>
          <w:szCs w:val="24"/>
        </w:rPr>
        <w:t xml:space="preserve"> </w:t>
      </w:r>
      <w:r w:rsidR="00284EB5" w:rsidRPr="00DA1300">
        <w:rPr>
          <w:rFonts w:ascii="Times New Roman" w:hAnsi="Times New Roman" w:cs="Times New Roman"/>
          <w:i/>
          <w:iCs/>
          <w:sz w:val="24"/>
          <w:szCs w:val="24"/>
        </w:rPr>
        <w:t>People v Huertas</w:t>
      </w:r>
      <w:r w:rsidR="00284EB5" w:rsidRPr="00DA1300">
        <w:rPr>
          <w:rFonts w:ascii="Times New Roman" w:hAnsi="Times New Roman" w:cs="Times New Roman"/>
          <w:sz w:val="24"/>
          <w:szCs w:val="24"/>
        </w:rPr>
        <w:t xml:space="preserve"> </w:t>
      </w:r>
      <w:r w:rsidR="004F32AE" w:rsidRPr="00DA1300">
        <w:rPr>
          <w:rFonts w:ascii="Times New Roman" w:hAnsi="Times New Roman" w:cs="Times New Roman"/>
          <w:sz w:val="24"/>
          <w:szCs w:val="24"/>
        </w:rPr>
        <w:t>(</w:t>
      </w:r>
      <w:r w:rsidR="00284EB5" w:rsidRPr="00DA1300">
        <w:rPr>
          <w:rFonts w:ascii="Times New Roman" w:hAnsi="Times New Roman" w:cs="Times New Roman"/>
          <w:sz w:val="24"/>
          <w:szCs w:val="24"/>
        </w:rPr>
        <w:t>75 NY2d 487, 488-</w:t>
      </w:r>
      <w:r w:rsidR="004F32AE" w:rsidRPr="00DA1300">
        <w:rPr>
          <w:rFonts w:ascii="Times New Roman" w:hAnsi="Times New Roman" w:cs="Times New Roman"/>
          <w:sz w:val="24"/>
          <w:szCs w:val="24"/>
        </w:rPr>
        <w:t>4</w:t>
      </w:r>
      <w:r w:rsidR="00284EB5" w:rsidRPr="00DA1300">
        <w:rPr>
          <w:rFonts w:ascii="Times New Roman" w:hAnsi="Times New Roman" w:cs="Times New Roman"/>
          <w:sz w:val="24"/>
          <w:szCs w:val="24"/>
        </w:rPr>
        <w:t>89 [1990]</w:t>
      </w:r>
      <w:r w:rsidR="004F32AE" w:rsidRPr="00DA1300">
        <w:rPr>
          <w:rFonts w:ascii="Times New Roman" w:hAnsi="Times New Roman" w:cs="Times New Roman"/>
          <w:sz w:val="24"/>
          <w:szCs w:val="24"/>
        </w:rPr>
        <w:t>)</w:t>
      </w:r>
      <w:r w:rsidR="00D26FB8" w:rsidRPr="00DA1300">
        <w:rPr>
          <w:rFonts w:ascii="Times New Roman" w:hAnsi="Times New Roman" w:cs="Times New Roman"/>
          <w:sz w:val="24"/>
          <w:szCs w:val="24"/>
        </w:rPr>
        <w:t xml:space="preserve">. In that case, </w:t>
      </w:r>
      <w:r w:rsidR="00214159" w:rsidRPr="00DA1300">
        <w:rPr>
          <w:rFonts w:ascii="Times New Roman" w:hAnsi="Times New Roman" w:cs="Times New Roman"/>
          <w:sz w:val="24"/>
          <w:szCs w:val="24"/>
        </w:rPr>
        <w:t xml:space="preserve">the Court </w:t>
      </w:r>
      <w:r w:rsidR="00B36A6C" w:rsidRPr="00DA1300">
        <w:rPr>
          <w:rFonts w:ascii="Times New Roman" w:hAnsi="Times New Roman" w:cs="Times New Roman"/>
          <w:sz w:val="24"/>
          <w:szCs w:val="24"/>
        </w:rPr>
        <w:t xml:space="preserve">allowed the </w:t>
      </w:r>
      <w:r w:rsidR="005744C7" w:rsidRPr="00DA1300">
        <w:rPr>
          <w:rFonts w:ascii="Times New Roman" w:hAnsi="Times New Roman" w:cs="Times New Roman"/>
          <w:sz w:val="24"/>
          <w:szCs w:val="24"/>
        </w:rPr>
        <w:t>“</w:t>
      </w:r>
      <w:r w:rsidR="00284EB5" w:rsidRPr="00DA1300">
        <w:rPr>
          <w:rFonts w:ascii="Times New Roman" w:hAnsi="Times New Roman" w:cs="Times New Roman"/>
          <w:sz w:val="24"/>
          <w:szCs w:val="24"/>
        </w:rPr>
        <w:t>admission into evidence, on the People</w:t>
      </w:r>
      <w:r w:rsidR="007A29A9" w:rsidRPr="00DA1300">
        <w:rPr>
          <w:rFonts w:ascii="Times New Roman" w:hAnsi="Times New Roman" w:cs="Times New Roman"/>
          <w:sz w:val="24"/>
          <w:szCs w:val="24"/>
        </w:rPr>
        <w:t>’</w:t>
      </w:r>
      <w:r w:rsidR="00284EB5" w:rsidRPr="00DA1300">
        <w:rPr>
          <w:rFonts w:ascii="Times New Roman" w:hAnsi="Times New Roman" w:cs="Times New Roman"/>
          <w:sz w:val="24"/>
          <w:szCs w:val="24"/>
        </w:rPr>
        <w:t>s direct case, of the complaining witness</w:t>
      </w:r>
      <w:r w:rsidR="007A29A9" w:rsidRPr="00DA1300">
        <w:rPr>
          <w:rFonts w:ascii="Times New Roman" w:hAnsi="Times New Roman" w:cs="Times New Roman"/>
          <w:sz w:val="24"/>
          <w:szCs w:val="24"/>
        </w:rPr>
        <w:t>’</w:t>
      </w:r>
      <w:r w:rsidR="00284EB5" w:rsidRPr="00DA1300">
        <w:rPr>
          <w:rFonts w:ascii="Times New Roman" w:hAnsi="Times New Roman" w:cs="Times New Roman"/>
          <w:sz w:val="24"/>
          <w:szCs w:val="24"/>
        </w:rPr>
        <w:t>s account of a description of her assailant given to the police shortly after she was raped</w:t>
      </w:r>
      <w:r w:rsidR="005744C7" w:rsidRPr="00DA1300">
        <w:rPr>
          <w:rFonts w:ascii="Times New Roman" w:hAnsi="Times New Roman" w:cs="Times New Roman"/>
          <w:sz w:val="24"/>
          <w:szCs w:val="24"/>
        </w:rPr>
        <w:t>”</w:t>
      </w:r>
      <w:r w:rsidR="00A77763" w:rsidRPr="00DA1300">
        <w:rPr>
          <w:rFonts w:ascii="Times New Roman" w:hAnsi="Times New Roman" w:cs="Times New Roman"/>
          <w:sz w:val="24"/>
          <w:szCs w:val="24"/>
        </w:rPr>
        <w:t xml:space="preserve"> (</w:t>
      </w:r>
      <w:r w:rsidR="00A77763" w:rsidRPr="00DA1300">
        <w:rPr>
          <w:rFonts w:ascii="Times New Roman" w:hAnsi="Times New Roman" w:cs="Times New Roman"/>
          <w:i/>
          <w:iCs/>
          <w:sz w:val="24"/>
          <w:szCs w:val="24"/>
        </w:rPr>
        <w:t>id</w:t>
      </w:r>
      <w:r w:rsidR="007F5312" w:rsidRPr="00DA1300">
        <w:rPr>
          <w:rFonts w:ascii="Times New Roman" w:hAnsi="Times New Roman" w:cs="Times New Roman"/>
          <w:i/>
          <w:iCs/>
          <w:sz w:val="24"/>
          <w:szCs w:val="24"/>
        </w:rPr>
        <w:t>.</w:t>
      </w:r>
      <w:r w:rsidR="007F5312" w:rsidRPr="00DA1300">
        <w:rPr>
          <w:rFonts w:ascii="Times New Roman" w:hAnsi="Times New Roman" w:cs="Times New Roman"/>
          <w:sz w:val="24"/>
          <w:szCs w:val="24"/>
        </w:rPr>
        <w:t xml:space="preserve"> </w:t>
      </w:r>
      <w:r w:rsidR="00A77763" w:rsidRPr="00DA1300">
        <w:rPr>
          <w:rFonts w:ascii="Times New Roman" w:hAnsi="Times New Roman" w:cs="Times New Roman"/>
          <w:sz w:val="24"/>
          <w:szCs w:val="24"/>
        </w:rPr>
        <w:t xml:space="preserve">at 488), noting that </w:t>
      </w:r>
      <w:r w:rsidR="00E92EC7" w:rsidRPr="00DA1300">
        <w:rPr>
          <w:rFonts w:ascii="Times New Roman" w:hAnsi="Times New Roman" w:cs="Times New Roman"/>
          <w:sz w:val="24"/>
          <w:szCs w:val="24"/>
        </w:rPr>
        <w:t xml:space="preserve">the </w:t>
      </w:r>
      <w:r w:rsidR="00603DB6" w:rsidRPr="00DA1300">
        <w:rPr>
          <w:rFonts w:ascii="Times New Roman" w:hAnsi="Times New Roman" w:cs="Times New Roman"/>
          <w:sz w:val="24"/>
          <w:szCs w:val="24"/>
        </w:rPr>
        <w:t>“</w:t>
      </w:r>
      <w:r w:rsidR="00E92EC7" w:rsidRPr="00DA1300">
        <w:rPr>
          <w:rFonts w:ascii="Times New Roman" w:hAnsi="Times New Roman" w:cs="Times New Roman"/>
          <w:sz w:val="24"/>
          <w:szCs w:val="24"/>
        </w:rPr>
        <w:t>probative force of the complainant</w:t>
      </w:r>
      <w:r w:rsidR="007A29A9" w:rsidRPr="00DA1300">
        <w:rPr>
          <w:rFonts w:ascii="Times New Roman" w:hAnsi="Times New Roman" w:cs="Times New Roman"/>
          <w:sz w:val="24"/>
          <w:szCs w:val="24"/>
        </w:rPr>
        <w:t>’</w:t>
      </w:r>
      <w:r w:rsidR="00E92EC7" w:rsidRPr="00DA1300">
        <w:rPr>
          <w:rFonts w:ascii="Times New Roman" w:hAnsi="Times New Roman" w:cs="Times New Roman"/>
          <w:sz w:val="24"/>
          <w:szCs w:val="24"/>
        </w:rPr>
        <w:t>s description evidence is not based on an assumption that the prior description is or is not true, nor does the comparison conclusively establish the identification as accurate or inaccurate.</w:t>
      </w:r>
      <w:r w:rsidR="00C9329E" w:rsidRPr="00DA1300">
        <w:rPr>
          <w:rFonts w:ascii="Times New Roman" w:hAnsi="Times New Roman" w:cs="Times New Roman"/>
          <w:sz w:val="24"/>
          <w:szCs w:val="24"/>
        </w:rPr>
        <w:t xml:space="preserve"> </w:t>
      </w:r>
      <w:r w:rsidR="00E92EC7" w:rsidRPr="00DA1300">
        <w:rPr>
          <w:rFonts w:ascii="Times New Roman" w:hAnsi="Times New Roman" w:cs="Times New Roman"/>
          <w:sz w:val="24"/>
          <w:szCs w:val="24"/>
        </w:rPr>
        <w:t>It is, however, evidence that assists the jury in evaluating the witness</w:t>
      </w:r>
      <w:r w:rsidR="007A29A9" w:rsidRPr="00DA1300">
        <w:rPr>
          <w:rFonts w:ascii="Times New Roman" w:hAnsi="Times New Roman" w:cs="Times New Roman"/>
          <w:sz w:val="24"/>
          <w:szCs w:val="24"/>
        </w:rPr>
        <w:t>’</w:t>
      </w:r>
      <w:r w:rsidR="00E92EC7" w:rsidRPr="00DA1300">
        <w:rPr>
          <w:rFonts w:ascii="Times New Roman" w:hAnsi="Times New Roman" w:cs="Times New Roman"/>
          <w:sz w:val="24"/>
          <w:szCs w:val="24"/>
        </w:rPr>
        <w:t>s opportunity to observe at the time of the crime, and the reliability of her memory at the time of the corporeal identification</w:t>
      </w:r>
      <w:r w:rsidR="00E35B65" w:rsidRPr="00DA1300">
        <w:rPr>
          <w:rFonts w:ascii="Georgia" w:hAnsi="Georgia" w:cs="Times New Roman"/>
          <w:sz w:val="24"/>
          <w:szCs w:val="24"/>
        </w:rPr>
        <w:t>—</w:t>
      </w:r>
      <w:r w:rsidR="00E92EC7" w:rsidRPr="00DA1300">
        <w:rPr>
          <w:rFonts w:ascii="Times New Roman" w:hAnsi="Times New Roman" w:cs="Times New Roman"/>
          <w:sz w:val="24"/>
          <w:szCs w:val="24"/>
        </w:rPr>
        <w:t>both important aspects of the critical issue.</w:t>
      </w:r>
      <w:r w:rsidR="00C9329E" w:rsidRPr="00DA1300">
        <w:rPr>
          <w:rFonts w:ascii="Times New Roman" w:hAnsi="Times New Roman" w:cs="Times New Roman"/>
          <w:sz w:val="24"/>
          <w:szCs w:val="24"/>
        </w:rPr>
        <w:t xml:space="preserve"> </w:t>
      </w:r>
      <w:r w:rsidR="00E92EC7" w:rsidRPr="00DA1300">
        <w:rPr>
          <w:rFonts w:ascii="Times New Roman" w:hAnsi="Times New Roman" w:cs="Times New Roman"/>
          <w:sz w:val="24"/>
          <w:szCs w:val="24"/>
        </w:rPr>
        <w:t>Thus, the description testimony was properly admitted for this nonhearsay purpose</w:t>
      </w:r>
      <w:r w:rsidR="00ED3A87" w:rsidRPr="00DA1300">
        <w:rPr>
          <w:rFonts w:ascii="Times New Roman" w:hAnsi="Times New Roman" w:cs="Times New Roman"/>
          <w:sz w:val="24"/>
          <w:szCs w:val="24"/>
        </w:rPr>
        <w:t>” (</w:t>
      </w:r>
      <w:r w:rsidR="00ED3A87" w:rsidRPr="00DA1300">
        <w:rPr>
          <w:rFonts w:ascii="Times New Roman" w:hAnsi="Times New Roman" w:cs="Times New Roman"/>
          <w:i/>
          <w:iCs/>
          <w:sz w:val="24"/>
          <w:szCs w:val="24"/>
        </w:rPr>
        <w:t>id.</w:t>
      </w:r>
      <w:r w:rsidR="004F32AE" w:rsidRPr="00DA1300">
        <w:rPr>
          <w:rFonts w:ascii="Times New Roman" w:hAnsi="Times New Roman" w:cs="Times New Roman"/>
          <w:sz w:val="24"/>
          <w:szCs w:val="24"/>
        </w:rPr>
        <w:t xml:space="preserve"> at </w:t>
      </w:r>
      <w:r w:rsidR="00603DB6" w:rsidRPr="00DA1300">
        <w:rPr>
          <w:rFonts w:ascii="Times New Roman" w:hAnsi="Times New Roman" w:cs="Times New Roman"/>
          <w:sz w:val="24"/>
          <w:szCs w:val="24"/>
        </w:rPr>
        <w:t>493</w:t>
      </w:r>
      <w:r w:rsidR="00E35B65" w:rsidRPr="00DA1300">
        <w:rPr>
          <w:rFonts w:ascii="Times New Roman" w:hAnsi="Times New Roman" w:cs="Times New Roman"/>
          <w:sz w:val="24"/>
          <w:szCs w:val="24"/>
        </w:rPr>
        <w:t xml:space="preserve">; </w:t>
      </w:r>
      <w:r w:rsidR="00E35B65" w:rsidRPr="00DA1300">
        <w:rPr>
          <w:rFonts w:ascii="Times New Roman" w:eastAsia="Times New Roman" w:hAnsi="Times New Roman" w:cs="Times New Roman"/>
          <w:i/>
          <w:iCs/>
          <w:sz w:val="24"/>
          <w:szCs w:val="24"/>
        </w:rPr>
        <w:t>bu</w:t>
      </w:r>
      <w:r w:rsidR="00E26CD7" w:rsidRPr="00DA1300">
        <w:rPr>
          <w:rFonts w:ascii="Times New Roman" w:eastAsia="Times New Roman" w:hAnsi="Times New Roman" w:cs="Times New Roman"/>
          <w:i/>
          <w:iCs/>
          <w:sz w:val="24"/>
          <w:szCs w:val="24"/>
        </w:rPr>
        <w:t xml:space="preserve">t see </w:t>
      </w:r>
      <w:r w:rsidR="00E26CD7" w:rsidRPr="00DA1300">
        <w:rPr>
          <w:rFonts w:ascii="Times New Roman" w:hAnsi="Times New Roman" w:cs="Times New Roman"/>
          <w:i/>
          <w:iCs/>
          <w:sz w:val="24"/>
          <w:szCs w:val="24"/>
        </w:rPr>
        <w:t>People v Fluitt</w:t>
      </w:r>
      <w:r w:rsidR="00E26CD7" w:rsidRPr="00DA1300">
        <w:rPr>
          <w:rFonts w:ascii="Times New Roman" w:hAnsi="Times New Roman" w:cs="Times New Roman"/>
          <w:sz w:val="24"/>
          <w:szCs w:val="24"/>
        </w:rPr>
        <w:t>, 80 NY2d 949, 950 [1992]</w:t>
      </w:r>
      <w:r w:rsidR="004E27DE" w:rsidRPr="00DA1300">
        <w:rPr>
          <w:rFonts w:ascii="Times New Roman" w:hAnsi="Times New Roman" w:cs="Times New Roman"/>
          <w:sz w:val="24"/>
          <w:szCs w:val="24"/>
        </w:rPr>
        <w:t xml:space="preserve"> [where the </w:t>
      </w:r>
      <w:r w:rsidR="0027061E" w:rsidRPr="00DA1300">
        <w:rPr>
          <w:rFonts w:ascii="Times New Roman" w:hAnsi="Times New Roman" w:cs="Times New Roman"/>
          <w:sz w:val="24"/>
          <w:szCs w:val="24"/>
        </w:rPr>
        <w:t xml:space="preserve">complainant’s showup </w:t>
      </w:r>
      <w:r w:rsidR="004E27DE" w:rsidRPr="00DA1300">
        <w:rPr>
          <w:rFonts w:ascii="Times New Roman" w:hAnsi="Times New Roman" w:cs="Times New Roman"/>
          <w:sz w:val="24"/>
          <w:szCs w:val="24"/>
        </w:rPr>
        <w:t>identification of the defendant had been suppressed, “</w:t>
      </w:r>
      <w:r w:rsidR="00E26CD7" w:rsidRPr="00DA1300">
        <w:rPr>
          <w:rFonts w:ascii="Times New Roman" w:hAnsi="Times New Roman" w:cs="Times New Roman"/>
          <w:sz w:val="24"/>
          <w:szCs w:val="24"/>
        </w:rPr>
        <w:t>it was improper for complainant to give a physical description of the robber</w:t>
      </w:r>
      <w:r w:rsidR="00E35B65" w:rsidRPr="00DA1300">
        <w:rPr>
          <w:rFonts w:ascii="Georgia" w:hAnsi="Georgia" w:cs="Times New Roman"/>
          <w:sz w:val="24"/>
          <w:szCs w:val="24"/>
        </w:rPr>
        <w:t>—</w:t>
      </w:r>
      <w:r w:rsidR="00E26CD7" w:rsidRPr="00DA1300">
        <w:rPr>
          <w:rFonts w:ascii="Times New Roman" w:hAnsi="Times New Roman" w:cs="Times New Roman"/>
          <w:sz w:val="24"/>
          <w:szCs w:val="24"/>
        </w:rPr>
        <w:t xml:space="preserve">there having been no finding that such description, given for the first time </w:t>
      </w:r>
      <w:r w:rsidR="00E26CD7" w:rsidRPr="00DA1300">
        <w:rPr>
          <w:rFonts w:ascii="Times New Roman" w:hAnsi="Times New Roman" w:cs="Times New Roman"/>
          <w:i/>
          <w:iCs/>
          <w:sz w:val="24"/>
          <w:szCs w:val="24"/>
        </w:rPr>
        <w:t>after</w:t>
      </w:r>
      <w:r w:rsidR="00E26CD7" w:rsidRPr="00DA1300">
        <w:rPr>
          <w:rFonts w:ascii="Times New Roman" w:hAnsi="Times New Roman" w:cs="Times New Roman"/>
          <w:sz w:val="24"/>
          <w:szCs w:val="24"/>
        </w:rPr>
        <w:t xml:space="preserve"> the showup, was </w:t>
      </w:r>
      <w:r w:rsidR="00E26CD7" w:rsidRPr="00DA1300">
        <w:rPr>
          <w:rFonts w:ascii="Times New Roman" w:hAnsi="Times New Roman" w:cs="Times New Roman"/>
          <w:sz w:val="24"/>
          <w:szCs w:val="24"/>
        </w:rPr>
        <w:lastRenderedPageBreak/>
        <w:t>untainted</w:t>
      </w:r>
      <w:r w:rsidR="00032213" w:rsidRPr="00DA1300">
        <w:rPr>
          <w:rFonts w:ascii="Times New Roman" w:hAnsi="Times New Roman" w:cs="Times New Roman"/>
          <w:sz w:val="24"/>
          <w:szCs w:val="24"/>
        </w:rPr>
        <w:t>”</w:t>
      </w:r>
      <w:r w:rsidR="00E35B65" w:rsidRPr="00DA1300">
        <w:rPr>
          <w:rFonts w:ascii="Times New Roman" w:hAnsi="Times New Roman" w:cs="Times New Roman"/>
          <w:sz w:val="24"/>
          <w:szCs w:val="24"/>
        </w:rPr>
        <w:t>]).</w:t>
      </w:r>
    </w:p>
    <w:p w14:paraId="3B47C384" w14:textId="77777777" w:rsidR="00D26FB8" w:rsidRPr="00DA1300" w:rsidRDefault="00D26FB8" w:rsidP="00DE7A0F">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91A2965" w14:textId="5D5730CC" w:rsidR="00D06144" w:rsidRPr="00DA1300" w:rsidRDefault="00DE7A0F" w:rsidP="00DE7A0F">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eastAsia="Times New Roman" w:hAnsi="Times New Roman" w:cs="Times New Roman"/>
          <w:sz w:val="24"/>
          <w:szCs w:val="24"/>
        </w:rPr>
      </w:pPr>
      <w:r w:rsidRPr="00DA1300">
        <w:rPr>
          <w:rFonts w:ascii="Times New Roman" w:hAnsi="Times New Roman" w:cs="Times New Roman"/>
          <w:sz w:val="24"/>
          <w:szCs w:val="24"/>
        </w:rPr>
        <w:tab/>
      </w:r>
      <w:r w:rsidR="00332ACC" w:rsidRPr="00DA1300">
        <w:rPr>
          <w:rFonts w:ascii="Times New Roman" w:hAnsi="Times New Roman" w:cs="Times New Roman"/>
          <w:sz w:val="24"/>
          <w:szCs w:val="24"/>
        </w:rPr>
        <w:t xml:space="preserve">In addition to the </w:t>
      </w:r>
      <w:r w:rsidR="006D5C39" w:rsidRPr="00DA1300">
        <w:rPr>
          <w:rFonts w:ascii="Times New Roman" w:hAnsi="Times New Roman" w:cs="Times New Roman"/>
          <w:sz w:val="24"/>
          <w:szCs w:val="24"/>
        </w:rPr>
        <w:t xml:space="preserve">complainant’s </w:t>
      </w:r>
      <w:r w:rsidR="00332ACC" w:rsidRPr="00DA1300">
        <w:rPr>
          <w:rFonts w:ascii="Times New Roman" w:hAnsi="Times New Roman" w:cs="Times New Roman"/>
          <w:sz w:val="24"/>
          <w:szCs w:val="24"/>
        </w:rPr>
        <w:t xml:space="preserve">testimony of </w:t>
      </w:r>
      <w:r w:rsidR="006D5C39" w:rsidRPr="00DA1300">
        <w:rPr>
          <w:rFonts w:ascii="Times New Roman" w:hAnsi="Times New Roman" w:cs="Times New Roman"/>
          <w:sz w:val="24"/>
          <w:szCs w:val="24"/>
        </w:rPr>
        <w:t xml:space="preserve">the description, a </w:t>
      </w:r>
      <w:r w:rsidR="008E391A" w:rsidRPr="00DA1300">
        <w:rPr>
          <w:rFonts w:ascii="Times New Roman" w:hAnsi="Times New Roman" w:cs="Times New Roman"/>
          <w:sz w:val="24"/>
          <w:szCs w:val="24"/>
        </w:rPr>
        <w:t>police officer</w:t>
      </w:r>
      <w:r w:rsidR="00606E2F" w:rsidRPr="00DA1300">
        <w:rPr>
          <w:rFonts w:ascii="Times New Roman" w:hAnsi="Times New Roman" w:cs="Times New Roman"/>
          <w:sz w:val="24"/>
          <w:szCs w:val="24"/>
        </w:rPr>
        <w:t xml:space="preserve"> to whom </w:t>
      </w:r>
      <w:r w:rsidR="003A76FD" w:rsidRPr="00DA1300">
        <w:rPr>
          <w:rFonts w:ascii="Times New Roman" w:hAnsi="Times New Roman" w:cs="Times New Roman"/>
          <w:sz w:val="24"/>
          <w:szCs w:val="24"/>
        </w:rPr>
        <w:t xml:space="preserve">the </w:t>
      </w:r>
      <w:r w:rsidR="00606E2F" w:rsidRPr="00DA1300">
        <w:rPr>
          <w:rFonts w:ascii="Times New Roman" w:hAnsi="Times New Roman" w:cs="Times New Roman"/>
          <w:sz w:val="24"/>
          <w:szCs w:val="24"/>
        </w:rPr>
        <w:t xml:space="preserve">“crime victim” gave a description of the perpetrator </w:t>
      </w:r>
      <w:r w:rsidR="00244903" w:rsidRPr="00DA1300">
        <w:rPr>
          <w:rFonts w:ascii="Times New Roman" w:hAnsi="Times New Roman" w:cs="Times New Roman"/>
          <w:sz w:val="24"/>
          <w:szCs w:val="24"/>
        </w:rPr>
        <w:t>may</w:t>
      </w:r>
      <w:r w:rsidR="003A76FD" w:rsidRPr="00DA1300">
        <w:rPr>
          <w:rFonts w:ascii="Times New Roman" w:hAnsi="Times New Roman" w:cs="Times New Roman"/>
          <w:sz w:val="24"/>
          <w:szCs w:val="24"/>
        </w:rPr>
        <w:t xml:space="preserve"> </w:t>
      </w:r>
      <w:r w:rsidR="00244903" w:rsidRPr="00DA1300">
        <w:rPr>
          <w:rFonts w:ascii="Times New Roman" w:hAnsi="Times New Roman" w:cs="Times New Roman"/>
          <w:sz w:val="24"/>
          <w:szCs w:val="24"/>
        </w:rPr>
        <w:t>testify “to a victim’s description</w:t>
      </w:r>
      <w:r w:rsidR="00236622" w:rsidRPr="00DA1300">
        <w:rPr>
          <w:rFonts w:ascii="Times New Roman" w:hAnsi="Times New Roman" w:cs="Times New Roman"/>
          <w:sz w:val="24"/>
          <w:szCs w:val="24"/>
        </w:rPr>
        <w:t xml:space="preserve">, where it does not tend to mislead the jury” </w:t>
      </w:r>
      <w:r w:rsidR="00F568E6" w:rsidRPr="00DA1300">
        <w:rPr>
          <w:rFonts w:ascii="Times New Roman" w:eastAsia="Times New Roman" w:hAnsi="Times New Roman" w:cs="Times New Roman"/>
          <w:sz w:val="24"/>
          <w:szCs w:val="24"/>
        </w:rPr>
        <w:t>by giving</w:t>
      </w:r>
      <w:r w:rsidR="00775E7F" w:rsidRPr="00DA1300">
        <w:rPr>
          <w:rFonts w:ascii="Times New Roman" w:eastAsia="Times New Roman" w:hAnsi="Times New Roman" w:cs="Times New Roman"/>
          <w:sz w:val="24"/>
          <w:szCs w:val="24"/>
        </w:rPr>
        <w:t xml:space="preserve"> the jury</w:t>
      </w:r>
      <w:r w:rsidR="00F568E6" w:rsidRPr="00DA1300">
        <w:rPr>
          <w:rFonts w:ascii="Times New Roman" w:eastAsia="Times New Roman" w:hAnsi="Times New Roman" w:cs="Times New Roman"/>
          <w:sz w:val="24"/>
          <w:szCs w:val="24"/>
        </w:rPr>
        <w:t xml:space="preserve">, for example, </w:t>
      </w:r>
      <w:r w:rsidR="00775E7F" w:rsidRPr="00DA1300">
        <w:rPr>
          <w:rFonts w:ascii="Times New Roman" w:eastAsia="Times New Roman" w:hAnsi="Times New Roman" w:cs="Times New Roman"/>
          <w:sz w:val="24"/>
          <w:szCs w:val="24"/>
        </w:rPr>
        <w:t xml:space="preserve">the “false impression that there was </w:t>
      </w:r>
      <w:r w:rsidR="00CF48F1" w:rsidRPr="00DA1300">
        <w:rPr>
          <w:rFonts w:ascii="Times New Roman" w:eastAsia="Times New Roman" w:hAnsi="Times New Roman" w:cs="Times New Roman"/>
          <w:sz w:val="24"/>
          <w:szCs w:val="24"/>
        </w:rPr>
        <w:t>‘</w:t>
      </w:r>
      <w:r w:rsidR="00775E7F" w:rsidRPr="00DA1300">
        <w:rPr>
          <w:rFonts w:ascii="Times New Roman" w:eastAsia="Times New Roman" w:hAnsi="Times New Roman" w:cs="Times New Roman"/>
          <w:sz w:val="24"/>
          <w:szCs w:val="24"/>
        </w:rPr>
        <w:t>an impressive amount of testimony</w:t>
      </w:r>
      <w:r w:rsidR="00CF48F1" w:rsidRPr="00DA1300">
        <w:rPr>
          <w:rFonts w:ascii="Times New Roman" w:eastAsia="Times New Roman" w:hAnsi="Times New Roman" w:cs="Times New Roman"/>
          <w:sz w:val="24"/>
          <w:szCs w:val="24"/>
        </w:rPr>
        <w:t>’</w:t>
      </w:r>
      <w:r w:rsidR="00775E7F" w:rsidRPr="00DA1300">
        <w:rPr>
          <w:rFonts w:ascii="Times New Roman" w:eastAsia="Times New Roman" w:hAnsi="Times New Roman" w:cs="Times New Roman"/>
          <w:sz w:val="24"/>
          <w:szCs w:val="24"/>
        </w:rPr>
        <w:t xml:space="preserve"> corroborating </w:t>
      </w:r>
      <w:r w:rsidR="00EC446E" w:rsidRPr="00DA1300">
        <w:rPr>
          <w:rFonts w:ascii="Times New Roman" w:eastAsia="Times New Roman" w:hAnsi="Times New Roman" w:cs="Times New Roman"/>
          <w:sz w:val="24"/>
          <w:szCs w:val="24"/>
        </w:rPr>
        <w:t>[the complainant’s]</w:t>
      </w:r>
      <w:r w:rsidR="00775E7F" w:rsidRPr="00DA1300">
        <w:rPr>
          <w:rFonts w:ascii="Times New Roman" w:eastAsia="Times New Roman" w:hAnsi="Times New Roman" w:cs="Times New Roman"/>
          <w:sz w:val="24"/>
          <w:szCs w:val="24"/>
        </w:rPr>
        <w:t xml:space="preserve"> account” </w:t>
      </w:r>
      <w:r w:rsidR="00CF48F1" w:rsidRPr="00DA1300">
        <w:rPr>
          <w:rFonts w:ascii="Times New Roman" w:eastAsia="Times New Roman" w:hAnsi="Times New Roman" w:cs="Times New Roman"/>
          <w:sz w:val="24"/>
          <w:szCs w:val="24"/>
        </w:rPr>
        <w:t>(</w:t>
      </w:r>
      <w:r w:rsidR="00162ECA" w:rsidRPr="00DA1300">
        <w:rPr>
          <w:rFonts w:ascii="Times New Roman" w:eastAsia="Times New Roman" w:hAnsi="Times New Roman" w:cs="Times New Roman"/>
          <w:i/>
          <w:iCs/>
          <w:sz w:val="24"/>
          <w:szCs w:val="24"/>
        </w:rPr>
        <w:t>People v Smith</w:t>
      </w:r>
      <w:r w:rsidR="00162ECA" w:rsidRPr="00DA1300">
        <w:rPr>
          <w:rFonts w:ascii="Times New Roman" w:eastAsia="Times New Roman" w:hAnsi="Times New Roman" w:cs="Times New Roman"/>
          <w:sz w:val="24"/>
          <w:szCs w:val="24"/>
        </w:rPr>
        <w:t xml:space="preserve">, 22 NY3d 462, </w:t>
      </w:r>
      <w:r w:rsidR="00CF48F1" w:rsidRPr="00DA1300">
        <w:rPr>
          <w:rFonts w:ascii="Times New Roman" w:eastAsia="Times New Roman" w:hAnsi="Times New Roman" w:cs="Times New Roman"/>
          <w:sz w:val="24"/>
          <w:szCs w:val="24"/>
        </w:rPr>
        <w:t xml:space="preserve">464, </w:t>
      </w:r>
      <w:r w:rsidR="00162ECA" w:rsidRPr="00DA1300">
        <w:rPr>
          <w:rFonts w:ascii="Times New Roman" w:eastAsia="Times New Roman" w:hAnsi="Times New Roman" w:cs="Times New Roman"/>
          <w:sz w:val="24"/>
          <w:szCs w:val="24"/>
        </w:rPr>
        <w:t>467</w:t>
      </w:r>
      <w:r w:rsidR="00C77861" w:rsidRPr="00DA1300">
        <w:rPr>
          <w:rFonts w:ascii="Times New Roman" w:eastAsia="Times New Roman" w:hAnsi="Times New Roman" w:cs="Times New Roman"/>
          <w:sz w:val="24"/>
          <w:szCs w:val="24"/>
        </w:rPr>
        <w:t xml:space="preserve"> [2013</w:t>
      </w:r>
      <w:r w:rsidR="00A208CC" w:rsidRPr="00DA1300">
        <w:rPr>
          <w:rFonts w:ascii="Times New Roman" w:eastAsia="Times New Roman" w:hAnsi="Times New Roman" w:cs="Times New Roman"/>
          <w:sz w:val="24"/>
          <w:szCs w:val="24"/>
        </w:rPr>
        <w:t>]</w:t>
      </w:r>
      <w:r w:rsidR="00CF48F1" w:rsidRPr="00DA1300">
        <w:rPr>
          <w:rFonts w:ascii="Times New Roman" w:eastAsia="Times New Roman" w:hAnsi="Times New Roman" w:cs="Times New Roman"/>
          <w:sz w:val="24"/>
          <w:szCs w:val="24"/>
        </w:rPr>
        <w:t>)</w:t>
      </w:r>
      <w:r w:rsidR="00A208CC" w:rsidRPr="00DA1300">
        <w:rPr>
          <w:rFonts w:ascii="Times New Roman" w:eastAsia="Times New Roman" w:hAnsi="Times New Roman" w:cs="Times New Roman"/>
          <w:sz w:val="24"/>
          <w:szCs w:val="24"/>
        </w:rPr>
        <w:t>.</w:t>
      </w:r>
    </w:p>
    <w:p w14:paraId="51B3A8C0" w14:textId="77777777" w:rsidR="00BF313D" w:rsidRPr="00DA1300" w:rsidRDefault="00BF313D" w:rsidP="005510B1">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eastAsia="Times New Roman" w:hAnsi="Times New Roman" w:cs="Times New Roman"/>
          <w:sz w:val="24"/>
          <w:szCs w:val="24"/>
        </w:rPr>
      </w:pPr>
    </w:p>
    <w:p w14:paraId="0632E8A4" w14:textId="7224D82B" w:rsidR="00981D92" w:rsidRPr="00DA1300" w:rsidRDefault="00E45267" w:rsidP="005510B1">
      <w:pPr>
        <w:widowControl/>
        <w:autoSpaceDE/>
        <w:autoSpaceDN/>
        <w:adjustRightInd/>
        <w:jc w:val="both"/>
        <w:rPr>
          <w:rFonts w:eastAsia="Times New Roman"/>
          <w:sz w:val="24"/>
          <w:szCs w:val="24"/>
        </w:rPr>
      </w:pPr>
      <w:r w:rsidRPr="00DA1300">
        <w:rPr>
          <w:rFonts w:eastAsia="Times New Roman"/>
          <w:b/>
          <w:bCs/>
          <w:sz w:val="24"/>
          <w:szCs w:val="24"/>
        </w:rPr>
        <w:tab/>
      </w:r>
      <w:r w:rsidR="005A5B05" w:rsidRPr="00DA1300">
        <w:rPr>
          <w:rFonts w:eastAsia="Times New Roman"/>
          <w:b/>
          <w:bCs/>
          <w:sz w:val="24"/>
          <w:szCs w:val="24"/>
        </w:rPr>
        <w:t>Subdivision (5)</w:t>
      </w:r>
      <w:r w:rsidR="005A5B05" w:rsidRPr="00DA1300">
        <w:rPr>
          <w:rFonts w:eastAsia="Times New Roman"/>
          <w:sz w:val="24"/>
          <w:szCs w:val="24"/>
        </w:rPr>
        <w:t xml:space="preserve"> is a catchall provision derived from Court of Appeals </w:t>
      </w:r>
      <w:r w:rsidR="004071F0" w:rsidRPr="00DA1300">
        <w:rPr>
          <w:rFonts w:eastAsia="Times New Roman"/>
          <w:sz w:val="24"/>
          <w:szCs w:val="24"/>
        </w:rPr>
        <w:t xml:space="preserve">decisions </w:t>
      </w:r>
      <w:r w:rsidR="005A5B05" w:rsidRPr="00DA1300">
        <w:rPr>
          <w:rFonts w:eastAsia="Times New Roman"/>
          <w:sz w:val="24"/>
          <w:szCs w:val="24"/>
        </w:rPr>
        <w:t>allowing for the intro</w:t>
      </w:r>
      <w:r w:rsidR="00902FC4" w:rsidRPr="00DA1300">
        <w:rPr>
          <w:rFonts w:eastAsia="Times New Roman"/>
          <w:sz w:val="24"/>
          <w:szCs w:val="24"/>
        </w:rPr>
        <w:t xml:space="preserve">duction in evidence of a prior consistent statement when the statement is admitted not for its truth but for some </w:t>
      </w:r>
      <w:r w:rsidR="003C1276" w:rsidRPr="00DA1300">
        <w:rPr>
          <w:rFonts w:eastAsia="Times New Roman"/>
          <w:sz w:val="24"/>
          <w:szCs w:val="24"/>
        </w:rPr>
        <w:t>other relevant reason</w:t>
      </w:r>
      <w:r w:rsidR="00C86AC4" w:rsidRPr="00DA1300">
        <w:rPr>
          <w:rFonts w:eastAsia="Times New Roman"/>
          <w:sz w:val="24"/>
          <w:szCs w:val="24"/>
        </w:rPr>
        <w:t xml:space="preserve">, such as </w:t>
      </w:r>
      <w:r w:rsidR="00F500B7" w:rsidRPr="00DA1300">
        <w:rPr>
          <w:rFonts w:eastAsia="Times New Roman"/>
          <w:sz w:val="24"/>
          <w:szCs w:val="24"/>
        </w:rPr>
        <w:t xml:space="preserve">explaining the </w:t>
      </w:r>
      <w:r w:rsidR="00BD5F3F" w:rsidRPr="00DA1300">
        <w:rPr>
          <w:rFonts w:eastAsia="Times New Roman"/>
          <w:sz w:val="24"/>
          <w:szCs w:val="24"/>
        </w:rPr>
        <w:t>“investigative process</w:t>
      </w:r>
      <w:r w:rsidR="006C75DF" w:rsidRPr="00DA1300">
        <w:rPr>
          <w:rFonts w:eastAsia="Times New Roman"/>
          <w:sz w:val="24"/>
          <w:szCs w:val="24"/>
        </w:rPr>
        <w:t xml:space="preserve"> and comp</w:t>
      </w:r>
      <w:r w:rsidR="0089580D" w:rsidRPr="00DA1300">
        <w:rPr>
          <w:rFonts w:eastAsia="Times New Roman"/>
          <w:sz w:val="24"/>
          <w:szCs w:val="24"/>
        </w:rPr>
        <w:t>l</w:t>
      </w:r>
      <w:r w:rsidR="006C75DF" w:rsidRPr="00DA1300">
        <w:rPr>
          <w:rFonts w:eastAsia="Times New Roman"/>
          <w:sz w:val="24"/>
          <w:szCs w:val="24"/>
        </w:rPr>
        <w:t>eting the narrative of events leading to the defendant’s arrest</w:t>
      </w:r>
      <w:r w:rsidR="00BD5F3F" w:rsidRPr="00DA1300">
        <w:rPr>
          <w:rFonts w:eastAsia="Times New Roman"/>
          <w:sz w:val="24"/>
          <w:szCs w:val="24"/>
        </w:rPr>
        <w:t>”</w:t>
      </w:r>
      <w:r w:rsidR="003C1276" w:rsidRPr="00DA1300">
        <w:rPr>
          <w:rFonts w:eastAsia="Times New Roman"/>
          <w:sz w:val="24"/>
          <w:szCs w:val="24"/>
        </w:rPr>
        <w:t xml:space="preserve"> </w:t>
      </w:r>
      <w:r w:rsidR="00D07BC5" w:rsidRPr="00DA1300">
        <w:rPr>
          <w:rFonts w:eastAsia="Times New Roman"/>
          <w:sz w:val="24"/>
          <w:szCs w:val="24"/>
        </w:rPr>
        <w:t>(</w:t>
      </w:r>
      <w:r w:rsidR="00D07BC5" w:rsidRPr="00DA1300">
        <w:rPr>
          <w:rFonts w:eastAsia="Times New Roman"/>
          <w:i/>
          <w:iCs/>
          <w:sz w:val="24"/>
          <w:szCs w:val="24"/>
        </w:rPr>
        <w:t>e</w:t>
      </w:r>
      <w:r w:rsidR="003C1276" w:rsidRPr="00DA1300">
        <w:rPr>
          <w:rFonts w:eastAsia="Times New Roman"/>
          <w:i/>
          <w:iCs/>
          <w:sz w:val="24"/>
          <w:szCs w:val="24"/>
        </w:rPr>
        <w:t>.g.</w:t>
      </w:r>
      <w:r w:rsidR="003C1276" w:rsidRPr="00DA1300">
        <w:rPr>
          <w:rFonts w:eastAsia="Times New Roman"/>
          <w:sz w:val="24"/>
          <w:szCs w:val="24"/>
        </w:rPr>
        <w:t xml:space="preserve"> </w:t>
      </w:r>
      <w:r w:rsidR="00B02651" w:rsidRPr="00DA1300">
        <w:rPr>
          <w:rFonts w:eastAsia="Times New Roman"/>
          <w:i/>
          <w:iCs/>
          <w:sz w:val="24"/>
          <w:szCs w:val="24"/>
        </w:rPr>
        <w:t>People v Gross</w:t>
      </w:r>
      <w:r w:rsidR="00B02651" w:rsidRPr="00DA1300">
        <w:rPr>
          <w:rFonts w:eastAsia="Times New Roman"/>
          <w:sz w:val="24"/>
          <w:szCs w:val="24"/>
        </w:rPr>
        <w:t>, 26 NY3d 689, 694-</w:t>
      </w:r>
      <w:r w:rsidR="00D07BC5" w:rsidRPr="00DA1300">
        <w:rPr>
          <w:rFonts w:eastAsia="Times New Roman"/>
          <w:sz w:val="24"/>
          <w:szCs w:val="24"/>
        </w:rPr>
        <w:t>6</w:t>
      </w:r>
      <w:r w:rsidR="00B02651" w:rsidRPr="00DA1300">
        <w:rPr>
          <w:rFonts w:eastAsia="Times New Roman"/>
          <w:sz w:val="24"/>
          <w:szCs w:val="24"/>
        </w:rPr>
        <w:t>95 [2016]</w:t>
      </w:r>
      <w:r w:rsidR="00690AB4" w:rsidRPr="00DA1300">
        <w:rPr>
          <w:rFonts w:eastAsia="Times New Roman"/>
          <w:sz w:val="24"/>
          <w:szCs w:val="24"/>
        </w:rPr>
        <w:t xml:space="preserve">; </w:t>
      </w:r>
      <w:r w:rsidR="00690AB4" w:rsidRPr="00DA1300">
        <w:rPr>
          <w:rFonts w:eastAsia="Times New Roman"/>
          <w:i/>
          <w:iCs/>
          <w:sz w:val="24"/>
          <w:szCs w:val="24"/>
        </w:rPr>
        <w:t>People v Ludwig</w:t>
      </w:r>
      <w:r w:rsidR="00690AB4" w:rsidRPr="00DA1300">
        <w:rPr>
          <w:rFonts w:eastAsia="Times New Roman"/>
          <w:sz w:val="24"/>
          <w:szCs w:val="24"/>
        </w:rPr>
        <w:t>, 24 NY3d 221, 23</w:t>
      </w:r>
      <w:r w:rsidR="00B5595B" w:rsidRPr="00DA1300">
        <w:rPr>
          <w:rFonts w:eastAsia="Times New Roman"/>
          <w:sz w:val="24"/>
          <w:szCs w:val="24"/>
        </w:rPr>
        <w:t>1</w:t>
      </w:r>
      <w:r w:rsidR="00690AB4" w:rsidRPr="00DA1300">
        <w:rPr>
          <w:rFonts w:eastAsia="Times New Roman"/>
          <w:sz w:val="24"/>
          <w:szCs w:val="24"/>
        </w:rPr>
        <w:t xml:space="preserve"> [2014]</w:t>
      </w:r>
      <w:r w:rsidR="00D07BC5" w:rsidRPr="00DA1300">
        <w:rPr>
          <w:rFonts w:eastAsia="Times New Roman"/>
          <w:sz w:val="24"/>
          <w:szCs w:val="24"/>
        </w:rPr>
        <w:t>)</w:t>
      </w:r>
      <w:r w:rsidR="004A740F" w:rsidRPr="00DA1300">
        <w:rPr>
          <w:rFonts w:eastAsia="Times New Roman"/>
          <w:sz w:val="24"/>
          <w:szCs w:val="24"/>
        </w:rPr>
        <w:t xml:space="preserve">. </w:t>
      </w:r>
      <w:r w:rsidR="00E45A7B" w:rsidRPr="00DA1300">
        <w:rPr>
          <w:rFonts w:eastAsia="Times New Roman"/>
          <w:sz w:val="24"/>
          <w:szCs w:val="24"/>
        </w:rPr>
        <w:t>In those cases,</w:t>
      </w:r>
      <w:r w:rsidR="00275D97" w:rsidRPr="00DA1300">
        <w:rPr>
          <w:rFonts w:eastAsia="Times New Roman"/>
          <w:sz w:val="24"/>
          <w:szCs w:val="24"/>
        </w:rPr>
        <w:t xml:space="preserve"> witnesses were </w:t>
      </w:r>
      <w:r w:rsidR="00424AEE" w:rsidRPr="00DA1300">
        <w:rPr>
          <w:rFonts w:eastAsia="Times New Roman"/>
          <w:sz w:val="24"/>
          <w:szCs w:val="24"/>
        </w:rPr>
        <w:t xml:space="preserve">permitted to testify </w:t>
      </w:r>
      <w:r w:rsidR="005E6898" w:rsidRPr="00DA1300">
        <w:rPr>
          <w:rFonts w:eastAsia="Times New Roman"/>
          <w:sz w:val="24"/>
          <w:szCs w:val="24"/>
        </w:rPr>
        <w:t>that the child who</w:t>
      </w:r>
      <w:r w:rsidR="004071F0" w:rsidRPr="00DA1300">
        <w:rPr>
          <w:rFonts w:eastAsia="Times New Roman"/>
          <w:sz w:val="24"/>
          <w:szCs w:val="24"/>
        </w:rPr>
        <w:t>m</w:t>
      </w:r>
      <w:r w:rsidR="005E6898" w:rsidRPr="00DA1300">
        <w:rPr>
          <w:rFonts w:eastAsia="Times New Roman"/>
          <w:sz w:val="24"/>
          <w:szCs w:val="24"/>
        </w:rPr>
        <w:t xml:space="preserve"> the defendant was accused of </w:t>
      </w:r>
      <w:r w:rsidR="0026550D" w:rsidRPr="00DA1300">
        <w:rPr>
          <w:rFonts w:eastAsia="Times New Roman"/>
          <w:sz w:val="24"/>
          <w:szCs w:val="24"/>
        </w:rPr>
        <w:t xml:space="preserve">sexually </w:t>
      </w:r>
      <w:r w:rsidR="005E6898" w:rsidRPr="00DA1300">
        <w:rPr>
          <w:rFonts w:eastAsia="Times New Roman"/>
          <w:sz w:val="24"/>
          <w:szCs w:val="24"/>
        </w:rPr>
        <w:t>abusing had made “nonspecific</w:t>
      </w:r>
      <w:r w:rsidR="00E44C44" w:rsidRPr="00DA1300">
        <w:rPr>
          <w:rFonts w:eastAsia="Times New Roman"/>
          <w:sz w:val="24"/>
          <w:szCs w:val="24"/>
        </w:rPr>
        <w:t xml:space="preserve"> statements</w:t>
      </w:r>
      <w:r w:rsidR="002512BF" w:rsidRPr="00DA1300">
        <w:rPr>
          <w:rFonts w:eastAsia="Times New Roman"/>
          <w:sz w:val="24"/>
          <w:szCs w:val="24"/>
        </w:rPr>
        <w:t>,</w:t>
      </w:r>
      <w:r w:rsidR="00E44C44" w:rsidRPr="00DA1300">
        <w:rPr>
          <w:rFonts w:eastAsia="Times New Roman"/>
          <w:sz w:val="24"/>
          <w:szCs w:val="24"/>
        </w:rPr>
        <w:t>”</w:t>
      </w:r>
      <w:r w:rsidR="002512BF" w:rsidRPr="00DA1300">
        <w:rPr>
          <w:rFonts w:eastAsia="Times New Roman"/>
          <w:sz w:val="24"/>
          <w:szCs w:val="24"/>
        </w:rPr>
        <w:t xml:space="preserve"> a “disclosure,”</w:t>
      </w:r>
      <w:r w:rsidR="00E44C44" w:rsidRPr="00DA1300">
        <w:rPr>
          <w:rFonts w:eastAsia="Times New Roman"/>
          <w:sz w:val="24"/>
          <w:szCs w:val="24"/>
        </w:rPr>
        <w:t xml:space="preserve"> relating to sexual abuse </w:t>
      </w:r>
      <w:r w:rsidR="002512BF" w:rsidRPr="00DA1300">
        <w:rPr>
          <w:rFonts w:eastAsia="Times New Roman"/>
          <w:sz w:val="24"/>
          <w:szCs w:val="24"/>
        </w:rPr>
        <w:t xml:space="preserve">and the </w:t>
      </w:r>
      <w:r w:rsidR="001C7486" w:rsidRPr="00DA1300">
        <w:rPr>
          <w:rFonts w:eastAsia="Times New Roman"/>
          <w:sz w:val="24"/>
          <w:szCs w:val="24"/>
        </w:rPr>
        <w:t xml:space="preserve">“steps they took after hearing the disclosure,” </w:t>
      </w:r>
      <w:r w:rsidR="001936EC" w:rsidRPr="00DA1300">
        <w:rPr>
          <w:rFonts w:eastAsia="Times New Roman"/>
          <w:sz w:val="24"/>
          <w:szCs w:val="24"/>
        </w:rPr>
        <w:t xml:space="preserve">not for the truth of the child’s statements, but rather </w:t>
      </w:r>
      <w:r w:rsidR="00424AEE" w:rsidRPr="00DA1300">
        <w:rPr>
          <w:rFonts w:eastAsia="Times New Roman"/>
          <w:sz w:val="24"/>
          <w:szCs w:val="24"/>
        </w:rPr>
        <w:t xml:space="preserve">to explain the </w:t>
      </w:r>
      <w:r w:rsidR="001941F3" w:rsidRPr="00DA1300">
        <w:rPr>
          <w:rFonts w:eastAsia="Times New Roman"/>
          <w:sz w:val="24"/>
          <w:szCs w:val="24"/>
        </w:rPr>
        <w:t xml:space="preserve">process </w:t>
      </w:r>
      <w:r w:rsidR="001936EC" w:rsidRPr="00DA1300">
        <w:rPr>
          <w:rFonts w:eastAsia="Times New Roman"/>
          <w:sz w:val="24"/>
          <w:szCs w:val="24"/>
        </w:rPr>
        <w:t>that led to the</w:t>
      </w:r>
      <w:r w:rsidR="001941F3" w:rsidRPr="00DA1300">
        <w:rPr>
          <w:rFonts w:eastAsia="Times New Roman"/>
          <w:sz w:val="24"/>
          <w:szCs w:val="24"/>
        </w:rPr>
        <w:t xml:space="preserve"> investigation and arrest of the defendant.</w:t>
      </w:r>
    </w:p>
    <w:p w14:paraId="349B0DC4" w14:textId="77777777" w:rsidR="006F3FB8" w:rsidRPr="00DA1300" w:rsidRDefault="006F3FB8" w:rsidP="005510B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sectPr w:rsidR="006F3FB8" w:rsidRPr="00DA1300" w:rsidSect="005510B1">
      <w:footerReference w:type="default" r:id="rId8"/>
      <w:endnotePr>
        <w:numFmt w:val="decimal"/>
      </w:endnotePr>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8554" w14:textId="77777777" w:rsidR="00845038" w:rsidRDefault="00845038" w:rsidP="00792464">
      <w:r>
        <w:separator/>
      </w:r>
    </w:p>
  </w:endnote>
  <w:endnote w:type="continuationSeparator" w:id="0">
    <w:p w14:paraId="6517291F" w14:textId="77777777" w:rsidR="00845038" w:rsidRDefault="00845038" w:rsidP="00792464">
      <w:r>
        <w:continuationSeparator/>
      </w:r>
    </w:p>
  </w:endnote>
  <w:endnote w:id="1">
    <w:p w14:paraId="7DA5C036" w14:textId="382D4AE4" w:rsidR="007A5DE9" w:rsidRPr="00CA6634" w:rsidRDefault="00C102D0" w:rsidP="007A5DE9">
      <w:pPr>
        <w:jc w:val="both"/>
      </w:pPr>
      <w:r w:rsidRPr="00CA6634">
        <w:rPr>
          <w:rStyle w:val="EndnoteReference"/>
        </w:rPr>
        <w:endnoteRef/>
      </w:r>
      <w:r w:rsidRPr="00CA6634">
        <w:t xml:space="preserve"> </w:t>
      </w:r>
      <w:r w:rsidR="007A5DE9" w:rsidRPr="00CA6634">
        <w:t xml:space="preserve">In June 2022, this rule was amended to number the sole existing paragraph of the rule to be subdivision (2) and to amend the content of that subdivision to conform with the addition of rule 6.02 on “recent fabrication.” Further, subdivisions (1), (3), (4), and (5) have been added to reflect in the rule information that was </w:t>
      </w:r>
      <w:r w:rsidR="00C33BF3" w:rsidRPr="00CA6634">
        <w:t>in part</w:t>
      </w:r>
      <w:r w:rsidR="007A5DE9" w:rsidRPr="00CA6634">
        <w:t xml:space="preserve"> in the Note.</w:t>
      </w:r>
    </w:p>
    <w:p w14:paraId="7B00CA03" w14:textId="5ACBDE90" w:rsidR="00C102D0" w:rsidRDefault="00C102D0" w:rsidP="00A71BBD">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D833" w14:textId="77777777" w:rsidR="00792464" w:rsidRDefault="00792464">
    <w:pPr>
      <w:pStyle w:val="Footer"/>
      <w:jc w:val="center"/>
    </w:pPr>
    <w:r>
      <w:fldChar w:fldCharType="begin"/>
    </w:r>
    <w:r>
      <w:instrText xml:space="preserve"> PAGE   \* MERGEFORMAT </w:instrText>
    </w:r>
    <w:r>
      <w:fldChar w:fldCharType="separate"/>
    </w:r>
    <w:r w:rsidR="00562F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7EE7" w14:textId="77777777" w:rsidR="00845038" w:rsidRDefault="00845038" w:rsidP="00792464">
      <w:r>
        <w:separator/>
      </w:r>
    </w:p>
  </w:footnote>
  <w:footnote w:type="continuationSeparator" w:id="0">
    <w:p w14:paraId="6B3F0A0B" w14:textId="77777777" w:rsidR="00845038" w:rsidRDefault="00845038" w:rsidP="0079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097"/>
    <w:multiLevelType w:val="multilevel"/>
    <w:tmpl w:val="C5E2F93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F3E3F07"/>
    <w:multiLevelType w:val="hybridMultilevel"/>
    <w:tmpl w:val="09AC872E"/>
    <w:lvl w:ilvl="0" w:tplc="5094D290">
      <w:start w:val="1"/>
      <w:numFmt w:val="decimal"/>
      <w:lvlText w:val="(%1)"/>
      <w:lvlJc w:val="left"/>
      <w:rPr>
        <w:rFonts w:hint="default"/>
        <w:strike w:val="0"/>
        <w:color w:val="00B05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237498B"/>
    <w:multiLevelType w:val="hybridMultilevel"/>
    <w:tmpl w:val="AA9A649E"/>
    <w:lvl w:ilvl="0" w:tplc="3B327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D7020"/>
    <w:multiLevelType w:val="multilevel"/>
    <w:tmpl w:val="AA20012E"/>
    <w:lvl w:ilvl="0">
      <w:start w:val="8"/>
      <w:numFmt w:val="decimal"/>
      <w:lvlText w:val="%1"/>
      <w:lvlJc w:val="left"/>
      <w:pPr>
        <w:ind w:left="525" w:hanging="525"/>
      </w:pPr>
      <w:rPr>
        <w:rFonts w:hint="default"/>
      </w:rPr>
    </w:lvl>
    <w:lvl w:ilvl="1">
      <w:start w:val="3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FF22CFF"/>
    <w:multiLevelType w:val="hybridMultilevel"/>
    <w:tmpl w:val="6CFEAE24"/>
    <w:lvl w:ilvl="0" w:tplc="8D8EFA4A">
      <w:start w:val="1"/>
      <w:numFmt w:val="decimal"/>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5618480">
    <w:abstractNumId w:val="4"/>
  </w:num>
  <w:num w:numId="2" w16cid:durableId="863861929">
    <w:abstractNumId w:val="1"/>
  </w:num>
  <w:num w:numId="3" w16cid:durableId="1511138584">
    <w:abstractNumId w:val="0"/>
  </w:num>
  <w:num w:numId="4" w16cid:durableId="421142810">
    <w:abstractNumId w:val="2"/>
  </w:num>
  <w:num w:numId="5" w16cid:durableId="171044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0" w:nlCheck="1" w:checkStyle="0"/>
  <w:activeWritingStyle w:appName="MSWord" w:lang="en-CA" w:vendorID="64" w:dllVersion="0" w:nlCheck="1" w:checkStyle="0"/>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4"/>
    <w:rsid w:val="00005D46"/>
    <w:rsid w:val="00014A3D"/>
    <w:rsid w:val="00015CCC"/>
    <w:rsid w:val="00020C97"/>
    <w:rsid w:val="00032213"/>
    <w:rsid w:val="000423C8"/>
    <w:rsid w:val="00046AD5"/>
    <w:rsid w:val="00051BC2"/>
    <w:rsid w:val="00052B3F"/>
    <w:rsid w:val="0007002C"/>
    <w:rsid w:val="00070878"/>
    <w:rsid w:val="0007088A"/>
    <w:rsid w:val="00070B46"/>
    <w:rsid w:val="00070C7B"/>
    <w:rsid w:val="00076DC7"/>
    <w:rsid w:val="0008047C"/>
    <w:rsid w:val="00080CD7"/>
    <w:rsid w:val="00083598"/>
    <w:rsid w:val="000C2018"/>
    <w:rsid w:val="000C4DB5"/>
    <w:rsid w:val="000D2506"/>
    <w:rsid w:val="000E239F"/>
    <w:rsid w:val="000E5785"/>
    <w:rsid w:val="000E7A0E"/>
    <w:rsid w:val="000F4635"/>
    <w:rsid w:val="000F4795"/>
    <w:rsid w:val="00102505"/>
    <w:rsid w:val="001117F7"/>
    <w:rsid w:val="00113BFE"/>
    <w:rsid w:val="0012238D"/>
    <w:rsid w:val="00122AE6"/>
    <w:rsid w:val="00132058"/>
    <w:rsid w:val="00135C84"/>
    <w:rsid w:val="00162ECA"/>
    <w:rsid w:val="0016460A"/>
    <w:rsid w:val="0017308A"/>
    <w:rsid w:val="00174319"/>
    <w:rsid w:val="001827AC"/>
    <w:rsid w:val="0018360C"/>
    <w:rsid w:val="001844DF"/>
    <w:rsid w:val="001848AC"/>
    <w:rsid w:val="001868D3"/>
    <w:rsid w:val="001875EC"/>
    <w:rsid w:val="001936EC"/>
    <w:rsid w:val="001941F3"/>
    <w:rsid w:val="00195423"/>
    <w:rsid w:val="001A2EEF"/>
    <w:rsid w:val="001A4AAE"/>
    <w:rsid w:val="001C4901"/>
    <w:rsid w:val="001C7486"/>
    <w:rsid w:val="001E5120"/>
    <w:rsid w:val="001E7ED2"/>
    <w:rsid w:val="001F1CF8"/>
    <w:rsid w:val="001F36AA"/>
    <w:rsid w:val="00206438"/>
    <w:rsid w:val="0020725A"/>
    <w:rsid w:val="00214159"/>
    <w:rsid w:val="0021612E"/>
    <w:rsid w:val="00221757"/>
    <w:rsid w:val="00232733"/>
    <w:rsid w:val="00232BBE"/>
    <w:rsid w:val="00236622"/>
    <w:rsid w:val="00236A52"/>
    <w:rsid w:val="002408A1"/>
    <w:rsid w:val="00240FE1"/>
    <w:rsid w:val="00244903"/>
    <w:rsid w:val="002512BF"/>
    <w:rsid w:val="0025332B"/>
    <w:rsid w:val="00255D28"/>
    <w:rsid w:val="00261A7E"/>
    <w:rsid w:val="0026550D"/>
    <w:rsid w:val="00267092"/>
    <w:rsid w:val="0027061E"/>
    <w:rsid w:val="00270898"/>
    <w:rsid w:val="00275D97"/>
    <w:rsid w:val="00284EB5"/>
    <w:rsid w:val="00290ECC"/>
    <w:rsid w:val="002B0218"/>
    <w:rsid w:val="002B382F"/>
    <w:rsid w:val="002B5C8E"/>
    <w:rsid w:val="002D1AF8"/>
    <w:rsid w:val="002D1B48"/>
    <w:rsid w:val="002D2DD5"/>
    <w:rsid w:val="002D792D"/>
    <w:rsid w:val="002E223D"/>
    <w:rsid w:val="002F080B"/>
    <w:rsid w:val="002F7BBA"/>
    <w:rsid w:val="003153FE"/>
    <w:rsid w:val="00315404"/>
    <w:rsid w:val="00332ACC"/>
    <w:rsid w:val="003340E0"/>
    <w:rsid w:val="00343CF5"/>
    <w:rsid w:val="0034527D"/>
    <w:rsid w:val="00354F14"/>
    <w:rsid w:val="00372254"/>
    <w:rsid w:val="00372503"/>
    <w:rsid w:val="00384E5D"/>
    <w:rsid w:val="0039723E"/>
    <w:rsid w:val="003A76FD"/>
    <w:rsid w:val="003B358E"/>
    <w:rsid w:val="003C1276"/>
    <w:rsid w:val="003C2A7C"/>
    <w:rsid w:val="003C3C02"/>
    <w:rsid w:val="003D192F"/>
    <w:rsid w:val="003E4843"/>
    <w:rsid w:val="003F0E8F"/>
    <w:rsid w:val="003F4596"/>
    <w:rsid w:val="003F78DA"/>
    <w:rsid w:val="00403BBE"/>
    <w:rsid w:val="00405541"/>
    <w:rsid w:val="004071F0"/>
    <w:rsid w:val="00411649"/>
    <w:rsid w:val="0041553A"/>
    <w:rsid w:val="00416DD2"/>
    <w:rsid w:val="00423870"/>
    <w:rsid w:val="00424AEE"/>
    <w:rsid w:val="004272DF"/>
    <w:rsid w:val="00432568"/>
    <w:rsid w:val="00434C8B"/>
    <w:rsid w:val="00441784"/>
    <w:rsid w:val="00452FC9"/>
    <w:rsid w:val="00454476"/>
    <w:rsid w:val="004643F3"/>
    <w:rsid w:val="00466E1A"/>
    <w:rsid w:val="00467F53"/>
    <w:rsid w:val="00471675"/>
    <w:rsid w:val="00481EF4"/>
    <w:rsid w:val="00485A13"/>
    <w:rsid w:val="0048626D"/>
    <w:rsid w:val="00486A50"/>
    <w:rsid w:val="00490949"/>
    <w:rsid w:val="00494E08"/>
    <w:rsid w:val="004A1B36"/>
    <w:rsid w:val="004A740F"/>
    <w:rsid w:val="004A7B64"/>
    <w:rsid w:val="004B44E6"/>
    <w:rsid w:val="004B70A5"/>
    <w:rsid w:val="004C15CA"/>
    <w:rsid w:val="004E0A6E"/>
    <w:rsid w:val="004E1BA9"/>
    <w:rsid w:val="004E27DE"/>
    <w:rsid w:val="004E7F2B"/>
    <w:rsid w:val="004F32AE"/>
    <w:rsid w:val="005026E4"/>
    <w:rsid w:val="00503EDC"/>
    <w:rsid w:val="00506079"/>
    <w:rsid w:val="00520E84"/>
    <w:rsid w:val="00520EAF"/>
    <w:rsid w:val="00521D0D"/>
    <w:rsid w:val="00527443"/>
    <w:rsid w:val="005348C3"/>
    <w:rsid w:val="005447F8"/>
    <w:rsid w:val="005510B1"/>
    <w:rsid w:val="00562FC2"/>
    <w:rsid w:val="005744C7"/>
    <w:rsid w:val="00575B63"/>
    <w:rsid w:val="0057636C"/>
    <w:rsid w:val="00582BBF"/>
    <w:rsid w:val="00593680"/>
    <w:rsid w:val="00595054"/>
    <w:rsid w:val="005A4A60"/>
    <w:rsid w:val="005A5B05"/>
    <w:rsid w:val="005B2F2B"/>
    <w:rsid w:val="005B6B0C"/>
    <w:rsid w:val="005C0303"/>
    <w:rsid w:val="005E5112"/>
    <w:rsid w:val="005E5D69"/>
    <w:rsid w:val="005E6898"/>
    <w:rsid w:val="005F16F9"/>
    <w:rsid w:val="005F41C8"/>
    <w:rsid w:val="005F77A1"/>
    <w:rsid w:val="00601FC2"/>
    <w:rsid w:val="006028E3"/>
    <w:rsid w:val="00603DB6"/>
    <w:rsid w:val="00603DDD"/>
    <w:rsid w:val="006053EA"/>
    <w:rsid w:val="00606E2F"/>
    <w:rsid w:val="0060728D"/>
    <w:rsid w:val="00617CDB"/>
    <w:rsid w:val="00623F6C"/>
    <w:rsid w:val="00633FE1"/>
    <w:rsid w:val="00634012"/>
    <w:rsid w:val="00640AC2"/>
    <w:rsid w:val="00642980"/>
    <w:rsid w:val="006437F5"/>
    <w:rsid w:val="006512B8"/>
    <w:rsid w:val="00651A77"/>
    <w:rsid w:val="00656333"/>
    <w:rsid w:val="00664566"/>
    <w:rsid w:val="0067726A"/>
    <w:rsid w:val="00677C31"/>
    <w:rsid w:val="00683242"/>
    <w:rsid w:val="00690AB4"/>
    <w:rsid w:val="00696C43"/>
    <w:rsid w:val="0069767B"/>
    <w:rsid w:val="006A00CA"/>
    <w:rsid w:val="006A6EEB"/>
    <w:rsid w:val="006A7D3B"/>
    <w:rsid w:val="006B11ED"/>
    <w:rsid w:val="006C0AB8"/>
    <w:rsid w:val="006C17BA"/>
    <w:rsid w:val="006C75DF"/>
    <w:rsid w:val="006D01E0"/>
    <w:rsid w:val="006D5C39"/>
    <w:rsid w:val="006E1BF8"/>
    <w:rsid w:val="006F373E"/>
    <w:rsid w:val="006F3FB8"/>
    <w:rsid w:val="007021BF"/>
    <w:rsid w:val="0072571C"/>
    <w:rsid w:val="00725F49"/>
    <w:rsid w:val="0074593E"/>
    <w:rsid w:val="00760C57"/>
    <w:rsid w:val="00761109"/>
    <w:rsid w:val="007650CA"/>
    <w:rsid w:val="00766034"/>
    <w:rsid w:val="00773F9E"/>
    <w:rsid w:val="00775262"/>
    <w:rsid w:val="00775E7F"/>
    <w:rsid w:val="007825FB"/>
    <w:rsid w:val="00786DC9"/>
    <w:rsid w:val="00792464"/>
    <w:rsid w:val="00793D3D"/>
    <w:rsid w:val="00793F6F"/>
    <w:rsid w:val="0079457A"/>
    <w:rsid w:val="007972DE"/>
    <w:rsid w:val="007A29A9"/>
    <w:rsid w:val="007A2B28"/>
    <w:rsid w:val="007A5DE9"/>
    <w:rsid w:val="007A76C3"/>
    <w:rsid w:val="007B0D00"/>
    <w:rsid w:val="007B0D57"/>
    <w:rsid w:val="007B1262"/>
    <w:rsid w:val="007B5A3A"/>
    <w:rsid w:val="007B5B98"/>
    <w:rsid w:val="007D53E8"/>
    <w:rsid w:val="007E5A04"/>
    <w:rsid w:val="007F5312"/>
    <w:rsid w:val="007F7ABD"/>
    <w:rsid w:val="00812B13"/>
    <w:rsid w:val="00812FBD"/>
    <w:rsid w:val="00813983"/>
    <w:rsid w:val="008266AD"/>
    <w:rsid w:val="00837427"/>
    <w:rsid w:val="008376A7"/>
    <w:rsid w:val="0084126C"/>
    <w:rsid w:val="00841A81"/>
    <w:rsid w:val="00844966"/>
    <w:rsid w:val="00845038"/>
    <w:rsid w:val="00846019"/>
    <w:rsid w:val="008473B7"/>
    <w:rsid w:val="00847599"/>
    <w:rsid w:val="008603B4"/>
    <w:rsid w:val="00861D93"/>
    <w:rsid w:val="00861F9F"/>
    <w:rsid w:val="00862DB1"/>
    <w:rsid w:val="008661C5"/>
    <w:rsid w:val="008764A8"/>
    <w:rsid w:val="00876E3A"/>
    <w:rsid w:val="00880E61"/>
    <w:rsid w:val="00882539"/>
    <w:rsid w:val="00882963"/>
    <w:rsid w:val="008917E6"/>
    <w:rsid w:val="00892319"/>
    <w:rsid w:val="00892705"/>
    <w:rsid w:val="0089580D"/>
    <w:rsid w:val="00897EB5"/>
    <w:rsid w:val="008B55AE"/>
    <w:rsid w:val="008C2FA0"/>
    <w:rsid w:val="008C6CD4"/>
    <w:rsid w:val="008D61C0"/>
    <w:rsid w:val="008E25C0"/>
    <w:rsid w:val="008E391A"/>
    <w:rsid w:val="008E7392"/>
    <w:rsid w:val="008F0318"/>
    <w:rsid w:val="009024C9"/>
    <w:rsid w:val="00902FC4"/>
    <w:rsid w:val="009037E0"/>
    <w:rsid w:val="00906E7F"/>
    <w:rsid w:val="00917B7D"/>
    <w:rsid w:val="0092606A"/>
    <w:rsid w:val="0093141F"/>
    <w:rsid w:val="00951953"/>
    <w:rsid w:val="00953232"/>
    <w:rsid w:val="00956688"/>
    <w:rsid w:val="00967A9B"/>
    <w:rsid w:val="009706C5"/>
    <w:rsid w:val="00977114"/>
    <w:rsid w:val="009808BC"/>
    <w:rsid w:val="00981D92"/>
    <w:rsid w:val="00991645"/>
    <w:rsid w:val="009E3438"/>
    <w:rsid w:val="009E3A19"/>
    <w:rsid w:val="009F1730"/>
    <w:rsid w:val="00A004EE"/>
    <w:rsid w:val="00A07575"/>
    <w:rsid w:val="00A1055C"/>
    <w:rsid w:val="00A13BCF"/>
    <w:rsid w:val="00A208CC"/>
    <w:rsid w:val="00A2576E"/>
    <w:rsid w:val="00A26C81"/>
    <w:rsid w:val="00A34296"/>
    <w:rsid w:val="00A4278D"/>
    <w:rsid w:val="00A445CD"/>
    <w:rsid w:val="00A470F9"/>
    <w:rsid w:val="00A6020F"/>
    <w:rsid w:val="00A666CF"/>
    <w:rsid w:val="00A71BBD"/>
    <w:rsid w:val="00A73FA2"/>
    <w:rsid w:val="00A77763"/>
    <w:rsid w:val="00A82E59"/>
    <w:rsid w:val="00A93384"/>
    <w:rsid w:val="00AA1D31"/>
    <w:rsid w:val="00AA1FC2"/>
    <w:rsid w:val="00AA41F9"/>
    <w:rsid w:val="00AB0099"/>
    <w:rsid w:val="00AD331F"/>
    <w:rsid w:val="00AE0B7B"/>
    <w:rsid w:val="00AE2D8C"/>
    <w:rsid w:val="00AF171C"/>
    <w:rsid w:val="00AF4E38"/>
    <w:rsid w:val="00AF7635"/>
    <w:rsid w:val="00B02651"/>
    <w:rsid w:val="00B15BB2"/>
    <w:rsid w:val="00B25D7A"/>
    <w:rsid w:val="00B36A6C"/>
    <w:rsid w:val="00B50CE3"/>
    <w:rsid w:val="00B54ABA"/>
    <w:rsid w:val="00B5595B"/>
    <w:rsid w:val="00B6018D"/>
    <w:rsid w:val="00B676C1"/>
    <w:rsid w:val="00B70577"/>
    <w:rsid w:val="00B7509A"/>
    <w:rsid w:val="00B801FC"/>
    <w:rsid w:val="00B84B13"/>
    <w:rsid w:val="00B9177B"/>
    <w:rsid w:val="00B93645"/>
    <w:rsid w:val="00B94726"/>
    <w:rsid w:val="00BA02CC"/>
    <w:rsid w:val="00BA31AB"/>
    <w:rsid w:val="00BA3D44"/>
    <w:rsid w:val="00BA5D63"/>
    <w:rsid w:val="00BB6AB3"/>
    <w:rsid w:val="00BC405E"/>
    <w:rsid w:val="00BC4BED"/>
    <w:rsid w:val="00BD5F3F"/>
    <w:rsid w:val="00BE7202"/>
    <w:rsid w:val="00BF313D"/>
    <w:rsid w:val="00BF3D0C"/>
    <w:rsid w:val="00C0076E"/>
    <w:rsid w:val="00C007BF"/>
    <w:rsid w:val="00C01F2F"/>
    <w:rsid w:val="00C06E15"/>
    <w:rsid w:val="00C07F6F"/>
    <w:rsid w:val="00C102D0"/>
    <w:rsid w:val="00C33BF3"/>
    <w:rsid w:val="00C34A81"/>
    <w:rsid w:val="00C4534B"/>
    <w:rsid w:val="00C4797B"/>
    <w:rsid w:val="00C70A33"/>
    <w:rsid w:val="00C72822"/>
    <w:rsid w:val="00C74161"/>
    <w:rsid w:val="00C77861"/>
    <w:rsid w:val="00C86AC4"/>
    <w:rsid w:val="00C90C70"/>
    <w:rsid w:val="00C92B71"/>
    <w:rsid w:val="00C9329E"/>
    <w:rsid w:val="00CA6634"/>
    <w:rsid w:val="00CA746A"/>
    <w:rsid w:val="00CB6DC6"/>
    <w:rsid w:val="00CE269A"/>
    <w:rsid w:val="00CE551F"/>
    <w:rsid w:val="00CE5D4E"/>
    <w:rsid w:val="00CF32A8"/>
    <w:rsid w:val="00CF4191"/>
    <w:rsid w:val="00CF48F1"/>
    <w:rsid w:val="00CF75BA"/>
    <w:rsid w:val="00D00A59"/>
    <w:rsid w:val="00D06144"/>
    <w:rsid w:val="00D07BC5"/>
    <w:rsid w:val="00D12157"/>
    <w:rsid w:val="00D2020F"/>
    <w:rsid w:val="00D21752"/>
    <w:rsid w:val="00D26FB8"/>
    <w:rsid w:val="00D3245A"/>
    <w:rsid w:val="00D36316"/>
    <w:rsid w:val="00D4265A"/>
    <w:rsid w:val="00D50A2C"/>
    <w:rsid w:val="00D60388"/>
    <w:rsid w:val="00D74D94"/>
    <w:rsid w:val="00D74DB2"/>
    <w:rsid w:val="00D8305A"/>
    <w:rsid w:val="00D83A54"/>
    <w:rsid w:val="00D85C41"/>
    <w:rsid w:val="00D928A0"/>
    <w:rsid w:val="00DA1300"/>
    <w:rsid w:val="00DA762E"/>
    <w:rsid w:val="00DB747A"/>
    <w:rsid w:val="00DB78DA"/>
    <w:rsid w:val="00DD5BC0"/>
    <w:rsid w:val="00DE195A"/>
    <w:rsid w:val="00DE1C58"/>
    <w:rsid w:val="00DE3165"/>
    <w:rsid w:val="00DE6D5A"/>
    <w:rsid w:val="00DE7A0F"/>
    <w:rsid w:val="00DF7AE4"/>
    <w:rsid w:val="00E02E10"/>
    <w:rsid w:val="00E21EDD"/>
    <w:rsid w:val="00E26CD7"/>
    <w:rsid w:val="00E35B65"/>
    <w:rsid w:val="00E44C44"/>
    <w:rsid w:val="00E45267"/>
    <w:rsid w:val="00E45A7B"/>
    <w:rsid w:val="00E54F73"/>
    <w:rsid w:val="00E56B88"/>
    <w:rsid w:val="00E62F93"/>
    <w:rsid w:val="00E66642"/>
    <w:rsid w:val="00E677A4"/>
    <w:rsid w:val="00E73C92"/>
    <w:rsid w:val="00E75686"/>
    <w:rsid w:val="00E80DC2"/>
    <w:rsid w:val="00E92EC7"/>
    <w:rsid w:val="00E96B0B"/>
    <w:rsid w:val="00EA3788"/>
    <w:rsid w:val="00EB355F"/>
    <w:rsid w:val="00EB7442"/>
    <w:rsid w:val="00EC37F6"/>
    <w:rsid w:val="00EC446E"/>
    <w:rsid w:val="00ED0A67"/>
    <w:rsid w:val="00ED31AB"/>
    <w:rsid w:val="00ED3A87"/>
    <w:rsid w:val="00EE06E8"/>
    <w:rsid w:val="00EE242F"/>
    <w:rsid w:val="00EE7500"/>
    <w:rsid w:val="00F16487"/>
    <w:rsid w:val="00F22355"/>
    <w:rsid w:val="00F23BE2"/>
    <w:rsid w:val="00F30552"/>
    <w:rsid w:val="00F3130C"/>
    <w:rsid w:val="00F36B60"/>
    <w:rsid w:val="00F4321F"/>
    <w:rsid w:val="00F45E00"/>
    <w:rsid w:val="00F500B7"/>
    <w:rsid w:val="00F50976"/>
    <w:rsid w:val="00F568E6"/>
    <w:rsid w:val="00F700A6"/>
    <w:rsid w:val="00F72C62"/>
    <w:rsid w:val="00F7465E"/>
    <w:rsid w:val="00F74BAB"/>
    <w:rsid w:val="00F86765"/>
    <w:rsid w:val="00F9684F"/>
    <w:rsid w:val="00FA383B"/>
    <w:rsid w:val="00FC5CF9"/>
    <w:rsid w:val="00FD390B"/>
    <w:rsid w:val="00FE6AC6"/>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2B19C"/>
  <w14:defaultImageDpi w14:val="96"/>
  <w15:docId w15:val="{738C84DF-37E5-48AB-AED4-7C43DAD5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792464"/>
    <w:pPr>
      <w:tabs>
        <w:tab w:val="center" w:pos="4680"/>
        <w:tab w:val="right" w:pos="9360"/>
      </w:tabs>
    </w:pPr>
  </w:style>
  <w:style w:type="character" w:customStyle="1" w:styleId="HeaderChar">
    <w:name w:val="Header Char"/>
    <w:basedOn w:val="DefaultParagraphFont"/>
    <w:link w:val="Header"/>
    <w:uiPriority w:val="99"/>
    <w:locked/>
    <w:rsid w:val="00792464"/>
    <w:rPr>
      <w:rFonts w:ascii="Times New Roman" w:hAnsi="Times New Roman" w:cs="Times New Roman"/>
      <w:sz w:val="20"/>
      <w:szCs w:val="20"/>
    </w:rPr>
  </w:style>
  <w:style w:type="paragraph" w:styleId="Footer">
    <w:name w:val="footer"/>
    <w:basedOn w:val="Normal"/>
    <w:link w:val="FooterChar"/>
    <w:uiPriority w:val="99"/>
    <w:unhideWhenUsed/>
    <w:rsid w:val="00792464"/>
    <w:pPr>
      <w:tabs>
        <w:tab w:val="center" w:pos="4680"/>
        <w:tab w:val="right" w:pos="9360"/>
      </w:tabs>
    </w:pPr>
  </w:style>
  <w:style w:type="character" w:customStyle="1" w:styleId="FooterChar">
    <w:name w:val="Footer Char"/>
    <w:basedOn w:val="DefaultParagraphFont"/>
    <w:link w:val="Footer"/>
    <w:uiPriority w:val="99"/>
    <w:locked/>
    <w:rsid w:val="00792464"/>
    <w:rPr>
      <w:rFonts w:ascii="Times New Roman" w:hAnsi="Times New Roman" w:cs="Times New Roman"/>
      <w:sz w:val="20"/>
      <w:szCs w:val="20"/>
    </w:rPr>
  </w:style>
  <w:style w:type="paragraph" w:styleId="ListParagraph">
    <w:name w:val="List Paragraph"/>
    <w:basedOn w:val="Normal"/>
    <w:uiPriority w:val="34"/>
    <w:qFormat/>
    <w:rsid w:val="00AA1FC2"/>
    <w:pPr>
      <w:ind w:left="720"/>
      <w:contextualSpacing/>
    </w:pPr>
  </w:style>
  <w:style w:type="character" w:styleId="Hyperlink">
    <w:name w:val="Hyperlink"/>
    <w:basedOn w:val="DefaultParagraphFont"/>
    <w:uiPriority w:val="99"/>
    <w:unhideWhenUsed/>
    <w:rsid w:val="007B0D57"/>
    <w:rPr>
      <w:color w:val="0563C1" w:themeColor="hyperlink"/>
      <w:u w:val="single"/>
    </w:rPr>
  </w:style>
  <w:style w:type="paragraph" w:styleId="EndnoteText">
    <w:name w:val="endnote text"/>
    <w:basedOn w:val="Normal"/>
    <w:link w:val="EndnoteTextChar"/>
    <w:uiPriority w:val="99"/>
    <w:semiHidden/>
    <w:unhideWhenUsed/>
    <w:rsid w:val="00494E08"/>
  </w:style>
  <w:style w:type="character" w:customStyle="1" w:styleId="EndnoteTextChar">
    <w:name w:val="Endnote Text Char"/>
    <w:basedOn w:val="DefaultParagraphFont"/>
    <w:link w:val="EndnoteText"/>
    <w:uiPriority w:val="99"/>
    <w:semiHidden/>
    <w:rsid w:val="00494E08"/>
    <w:rPr>
      <w:rFonts w:ascii="Times New Roman" w:hAnsi="Times New Roman"/>
      <w:sz w:val="20"/>
      <w:szCs w:val="20"/>
    </w:rPr>
  </w:style>
  <w:style w:type="character" w:styleId="EndnoteReference">
    <w:name w:val="endnote reference"/>
    <w:basedOn w:val="DefaultParagraphFont"/>
    <w:uiPriority w:val="99"/>
    <w:semiHidden/>
    <w:unhideWhenUsed/>
    <w:rsid w:val="00494E08"/>
    <w:rPr>
      <w:vertAlign w:val="superscript"/>
    </w:rPr>
  </w:style>
  <w:style w:type="character" w:customStyle="1" w:styleId="costarpage">
    <w:name w:val="co_starpage"/>
    <w:basedOn w:val="DefaultParagraphFont"/>
    <w:rsid w:val="001844DF"/>
  </w:style>
  <w:style w:type="character" w:styleId="CommentReference">
    <w:name w:val="annotation reference"/>
    <w:basedOn w:val="DefaultParagraphFont"/>
    <w:uiPriority w:val="99"/>
    <w:semiHidden/>
    <w:unhideWhenUsed/>
    <w:rsid w:val="007E5A04"/>
    <w:rPr>
      <w:sz w:val="16"/>
      <w:szCs w:val="16"/>
    </w:rPr>
  </w:style>
  <w:style w:type="paragraph" w:styleId="CommentText">
    <w:name w:val="annotation text"/>
    <w:basedOn w:val="Normal"/>
    <w:link w:val="CommentTextChar"/>
    <w:uiPriority w:val="99"/>
    <w:semiHidden/>
    <w:unhideWhenUsed/>
    <w:rsid w:val="007E5A04"/>
  </w:style>
  <w:style w:type="character" w:customStyle="1" w:styleId="CommentTextChar">
    <w:name w:val="Comment Text Char"/>
    <w:basedOn w:val="DefaultParagraphFont"/>
    <w:link w:val="CommentText"/>
    <w:uiPriority w:val="99"/>
    <w:semiHidden/>
    <w:rsid w:val="007E5A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5A04"/>
    <w:rPr>
      <w:b/>
      <w:bCs/>
    </w:rPr>
  </w:style>
  <w:style w:type="character" w:customStyle="1" w:styleId="CommentSubjectChar">
    <w:name w:val="Comment Subject Char"/>
    <w:basedOn w:val="CommentTextChar"/>
    <w:link w:val="CommentSubject"/>
    <w:uiPriority w:val="99"/>
    <w:semiHidden/>
    <w:rsid w:val="007E5A0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736">
      <w:bodyDiv w:val="1"/>
      <w:marLeft w:val="0"/>
      <w:marRight w:val="0"/>
      <w:marTop w:val="0"/>
      <w:marBottom w:val="0"/>
      <w:divBdr>
        <w:top w:val="none" w:sz="0" w:space="0" w:color="auto"/>
        <w:left w:val="none" w:sz="0" w:space="0" w:color="auto"/>
        <w:bottom w:val="none" w:sz="0" w:space="0" w:color="auto"/>
        <w:right w:val="none" w:sz="0" w:space="0" w:color="auto"/>
      </w:divBdr>
      <w:divsChild>
        <w:div w:id="139881296">
          <w:marLeft w:val="0"/>
          <w:marRight w:val="0"/>
          <w:marTop w:val="0"/>
          <w:marBottom w:val="0"/>
          <w:divBdr>
            <w:top w:val="none" w:sz="0" w:space="0" w:color="auto"/>
            <w:left w:val="none" w:sz="0" w:space="0" w:color="auto"/>
            <w:bottom w:val="none" w:sz="0" w:space="0" w:color="auto"/>
            <w:right w:val="none" w:sz="0" w:space="0" w:color="auto"/>
          </w:divBdr>
          <w:divsChild>
            <w:div w:id="38215305">
              <w:marLeft w:val="0"/>
              <w:marRight w:val="0"/>
              <w:marTop w:val="0"/>
              <w:marBottom w:val="0"/>
              <w:divBdr>
                <w:top w:val="none" w:sz="0" w:space="0" w:color="auto"/>
                <w:left w:val="none" w:sz="0" w:space="0" w:color="auto"/>
                <w:bottom w:val="none" w:sz="0" w:space="0" w:color="auto"/>
                <w:right w:val="none" w:sz="0" w:space="0" w:color="auto"/>
              </w:divBdr>
              <w:divsChild>
                <w:div w:id="1438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3058">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0">
          <w:marLeft w:val="0"/>
          <w:marRight w:val="0"/>
          <w:marTop w:val="0"/>
          <w:marBottom w:val="0"/>
          <w:divBdr>
            <w:top w:val="none" w:sz="0" w:space="0" w:color="auto"/>
            <w:left w:val="none" w:sz="0" w:space="0" w:color="auto"/>
            <w:bottom w:val="none" w:sz="0" w:space="0" w:color="auto"/>
            <w:right w:val="none" w:sz="0" w:space="0" w:color="auto"/>
          </w:divBdr>
          <w:divsChild>
            <w:div w:id="2113938293">
              <w:marLeft w:val="0"/>
              <w:marRight w:val="0"/>
              <w:marTop w:val="0"/>
              <w:marBottom w:val="0"/>
              <w:divBdr>
                <w:top w:val="none" w:sz="0" w:space="0" w:color="auto"/>
                <w:left w:val="none" w:sz="0" w:space="0" w:color="auto"/>
                <w:bottom w:val="none" w:sz="0" w:space="0" w:color="auto"/>
                <w:right w:val="none" w:sz="0" w:space="0" w:color="auto"/>
              </w:divBdr>
              <w:divsChild>
                <w:div w:id="184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86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3">
          <w:marLeft w:val="0"/>
          <w:marRight w:val="0"/>
          <w:marTop w:val="0"/>
          <w:marBottom w:val="0"/>
          <w:divBdr>
            <w:top w:val="none" w:sz="0" w:space="0" w:color="auto"/>
            <w:left w:val="none" w:sz="0" w:space="0" w:color="auto"/>
            <w:bottom w:val="none" w:sz="0" w:space="0" w:color="auto"/>
            <w:right w:val="none" w:sz="0" w:space="0" w:color="auto"/>
          </w:divBdr>
          <w:divsChild>
            <w:div w:id="510218792">
              <w:marLeft w:val="0"/>
              <w:marRight w:val="0"/>
              <w:marTop w:val="0"/>
              <w:marBottom w:val="0"/>
              <w:divBdr>
                <w:top w:val="none" w:sz="0" w:space="0" w:color="auto"/>
                <w:left w:val="none" w:sz="0" w:space="0" w:color="auto"/>
                <w:bottom w:val="none" w:sz="0" w:space="0" w:color="auto"/>
                <w:right w:val="none" w:sz="0" w:space="0" w:color="auto"/>
              </w:divBdr>
              <w:divsChild>
                <w:div w:id="12727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324">
      <w:bodyDiv w:val="1"/>
      <w:marLeft w:val="0"/>
      <w:marRight w:val="0"/>
      <w:marTop w:val="0"/>
      <w:marBottom w:val="0"/>
      <w:divBdr>
        <w:top w:val="none" w:sz="0" w:space="0" w:color="auto"/>
        <w:left w:val="none" w:sz="0" w:space="0" w:color="auto"/>
        <w:bottom w:val="none" w:sz="0" w:space="0" w:color="auto"/>
        <w:right w:val="none" w:sz="0" w:space="0" w:color="auto"/>
      </w:divBdr>
      <w:divsChild>
        <w:div w:id="1961380015">
          <w:marLeft w:val="0"/>
          <w:marRight w:val="0"/>
          <w:marTop w:val="0"/>
          <w:marBottom w:val="0"/>
          <w:divBdr>
            <w:top w:val="none" w:sz="0" w:space="0" w:color="auto"/>
            <w:left w:val="none" w:sz="0" w:space="0" w:color="auto"/>
            <w:bottom w:val="none" w:sz="0" w:space="0" w:color="auto"/>
            <w:right w:val="none" w:sz="0" w:space="0" w:color="auto"/>
          </w:divBdr>
          <w:divsChild>
            <w:div w:id="1302153054">
              <w:marLeft w:val="0"/>
              <w:marRight w:val="0"/>
              <w:marTop w:val="0"/>
              <w:marBottom w:val="0"/>
              <w:divBdr>
                <w:top w:val="none" w:sz="0" w:space="0" w:color="auto"/>
                <w:left w:val="none" w:sz="0" w:space="0" w:color="auto"/>
                <w:bottom w:val="none" w:sz="0" w:space="0" w:color="auto"/>
                <w:right w:val="none" w:sz="0" w:space="0" w:color="auto"/>
              </w:divBdr>
              <w:divsChild>
                <w:div w:id="9830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3803">
      <w:bodyDiv w:val="1"/>
      <w:marLeft w:val="0"/>
      <w:marRight w:val="0"/>
      <w:marTop w:val="0"/>
      <w:marBottom w:val="0"/>
      <w:divBdr>
        <w:top w:val="none" w:sz="0" w:space="0" w:color="auto"/>
        <w:left w:val="none" w:sz="0" w:space="0" w:color="auto"/>
        <w:bottom w:val="none" w:sz="0" w:space="0" w:color="auto"/>
        <w:right w:val="none" w:sz="0" w:space="0" w:color="auto"/>
      </w:divBdr>
      <w:divsChild>
        <w:div w:id="471365410">
          <w:marLeft w:val="0"/>
          <w:marRight w:val="0"/>
          <w:marTop w:val="0"/>
          <w:marBottom w:val="0"/>
          <w:divBdr>
            <w:top w:val="none" w:sz="0" w:space="0" w:color="auto"/>
            <w:left w:val="none" w:sz="0" w:space="0" w:color="auto"/>
            <w:bottom w:val="none" w:sz="0" w:space="0" w:color="auto"/>
            <w:right w:val="none" w:sz="0" w:space="0" w:color="auto"/>
          </w:divBdr>
          <w:divsChild>
            <w:div w:id="1317418659">
              <w:marLeft w:val="0"/>
              <w:marRight w:val="0"/>
              <w:marTop w:val="0"/>
              <w:marBottom w:val="0"/>
              <w:divBdr>
                <w:top w:val="none" w:sz="0" w:space="0" w:color="auto"/>
                <w:left w:val="none" w:sz="0" w:space="0" w:color="auto"/>
                <w:bottom w:val="none" w:sz="0" w:space="0" w:color="auto"/>
                <w:right w:val="none" w:sz="0" w:space="0" w:color="auto"/>
              </w:divBdr>
              <w:divsChild>
                <w:div w:id="18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98">
      <w:bodyDiv w:val="1"/>
      <w:marLeft w:val="0"/>
      <w:marRight w:val="0"/>
      <w:marTop w:val="0"/>
      <w:marBottom w:val="0"/>
      <w:divBdr>
        <w:top w:val="none" w:sz="0" w:space="0" w:color="auto"/>
        <w:left w:val="none" w:sz="0" w:space="0" w:color="auto"/>
        <w:bottom w:val="none" w:sz="0" w:space="0" w:color="auto"/>
        <w:right w:val="none" w:sz="0" w:space="0" w:color="auto"/>
      </w:divBdr>
      <w:divsChild>
        <w:div w:id="1652903128">
          <w:marLeft w:val="0"/>
          <w:marRight w:val="0"/>
          <w:marTop w:val="0"/>
          <w:marBottom w:val="0"/>
          <w:divBdr>
            <w:top w:val="none" w:sz="0" w:space="0" w:color="auto"/>
            <w:left w:val="none" w:sz="0" w:space="0" w:color="auto"/>
            <w:bottom w:val="none" w:sz="0" w:space="0" w:color="auto"/>
            <w:right w:val="none" w:sz="0" w:space="0" w:color="auto"/>
          </w:divBdr>
          <w:divsChild>
            <w:div w:id="1920871893">
              <w:marLeft w:val="0"/>
              <w:marRight w:val="0"/>
              <w:marTop w:val="0"/>
              <w:marBottom w:val="0"/>
              <w:divBdr>
                <w:top w:val="none" w:sz="0" w:space="0" w:color="auto"/>
                <w:left w:val="none" w:sz="0" w:space="0" w:color="auto"/>
                <w:bottom w:val="none" w:sz="0" w:space="0" w:color="auto"/>
                <w:right w:val="none" w:sz="0" w:space="0" w:color="auto"/>
              </w:divBdr>
              <w:divsChild>
                <w:div w:id="1702783662">
                  <w:marLeft w:val="0"/>
                  <w:marRight w:val="0"/>
                  <w:marTop w:val="0"/>
                  <w:marBottom w:val="0"/>
                  <w:divBdr>
                    <w:top w:val="none" w:sz="0" w:space="0" w:color="auto"/>
                    <w:left w:val="none" w:sz="0" w:space="0" w:color="auto"/>
                    <w:bottom w:val="none" w:sz="0" w:space="0" w:color="auto"/>
                    <w:right w:val="none" w:sz="0" w:space="0" w:color="auto"/>
                  </w:divBdr>
                </w:div>
                <w:div w:id="1380782760">
                  <w:marLeft w:val="0"/>
                  <w:marRight w:val="0"/>
                  <w:marTop w:val="0"/>
                  <w:marBottom w:val="0"/>
                  <w:divBdr>
                    <w:top w:val="none" w:sz="0" w:space="0" w:color="auto"/>
                    <w:left w:val="none" w:sz="0" w:space="0" w:color="auto"/>
                    <w:bottom w:val="none" w:sz="0" w:space="0" w:color="auto"/>
                    <w:right w:val="none" w:sz="0" w:space="0" w:color="auto"/>
                  </w:divBdr>
                  <w:divsChild>
                    <w:div w:id="837118338">
                      <w:marLeft w:val="0"/>
                      <w:marRight w:val="0"/>
                      <w:marTop w:val="0"/>
                      <w:marBottom w:val="0"/>
                      <w:divBdr>
                        <w:top w:val="none" w:sz="0" w:space="0" w:color="auto"/>
                        <w:left w:val="none" w:sz="0" w:space="0" w:color="auto"/>
                        <w:bottom w:val="none" w:sz="0" w:space="0" w:color="auto"/>
                        <w:right w:val="none" w:sz="0" w:space="0" w:color="auto"/>
                      </w:divBdr>
                    </w:div>
                  </w:divsChild>
                </w:div>
                <w:div w:id="729692891">
                  <w:marLeft w:val="0"/>
                  <w:marRight w:val="0"/>
                  <w:marTop w:val="0"/>
                  <w:marBottom w:val="0"/>
                  <w:divBdr>
                    <w:top w:val="none" w:sz="0" w:space="0" w:color="auto"/>
                    <w:left w:val="none" w:sz="0" w:space="0" w:color="auto"/>
                    <w:bottom w:val="none" w:sz="0" w:space="0" w:color="auto"/>
                    <w:right w:val="none" w:sz="0" w:space="0" w:color="auto"/>
                  </w:divBdr>
                  <w:divsChild>
                    <w:div w:id="970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50347">
      <w:bodyDiv w:val="1"/>
      <w:marLeft w:val="0"/>
      <w:marRight w:val="0"/>
      <w:marTop w:val="0"/>
      <w:marBottom w:val="0"/>
      <w:divBdr>
        <w:top w:val="none" w:sz="0" w:space="0" w:color="auto"/>
        <w:left w:val="none" w:sz="0" w:space="0" w:color="auto"/>
        <w:bottom w:val="none" w:sz="0" w:space="0" w:color="auto"/>
        <w:right w:val="none" w:sz="0" w:space="0" w:color="auto"/>
      </w:divBdr>
      <w:divsChild>
        <w:div w:id="340932773">
          <w:marLeft w:val="0"/>
          <w:marRight w:val="0"/>
          <w:marTop w:val="0"/>
          <w:marBottom w:val="0"/>
          <w:divBdr>
            <w:top w:val="none" w:sz="0" w:space="0" w:color="auto"/>
            <w:left w:val="none" w:sz="0" w:space="0" w:color="auto"/>
            <w:bottom w:val="none" w:sz="0" w:space="0" w:color="auto"/>
            <w:right w:val="none" w:sz="0" w:space="0" w:color="auto"/>
          </w:divBdr>
          <w:divsChild>
            <w:div w:id="873730480">
              <w:marLeft w:val="0"/>
              <w:marRight w:val="0"/>
              <w:marTop w:val="0"/>
              <w:marBottom w:val="0"/>
              <w:divBdr>
                <w:top w:val="none" w:sz="0" w:space="0" w:color="auto"/>
                <w:left w:val="none" w:sz="0" w:space="0" w:color="auto"/>
                <w:bottom w:val="none" w:sz="0" w:space="0" w:color="auto"/>
                <w:right w:val="none" w:sz="0" w:space="0" w:color="auto"/>
              </w:divBdr>
              <w:divsChild>
                <w:div w:id="2987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1480">
      <w:bodyDiv w:val="1"/>
      <w:marLeft w:val="0"/>
      <w:marRight w:val="0"/>
      <w:marTop w:val="0"/>
      <w:marBottom w:val="0"/>
      <w:divBdr>
        <w:top w:val="none" w:sz="0" w:space="0" w:color="auto"/>
        <w:left w:val="none" w:sz="0" w:space="0" w:color="auto"/>
        <w:bottom w:val="none" w:sz="0" w:space="0" w:color="auto"/>
        <w:right w:val="none" w:sz="0" w:space="0" w:color="auto"/>
      </w:divBdr>
      <w:divsChild>
        <w:div w:id="1394114323">
          <w:marLeft w:val="0"/>
          <w:marRight w:val="0"/>
          <w:marTop w:val="0"/>
          <w:marBottom w:val="0"/>
          <w:divBdr>
            <w:top w:val="none" w:sz="0" w:space="0" w:color="auto"/>
            <w:left w:val="none" w:sz="0" w:space="0" w:color="auto"/>
            <w:bottom w:val="none" w:sz="0" w:space="0" w:color="auto"/>
            <w:right w:val="none" w:sz="0" w:space="0" w:color="auto"/>
          </w:divBdr>
          <w:divsChild>
            <w:div w:id="422997696">
              <w:marLeft w:val="0"/>
              <w:marRight w:val="0"/>
              <w:marTop w:val="0"/>
              <w:marBottom w:val="0"/>
              <w:divBdr>
                <w:top w:val="none" w:sz="0" w:space="0" w:color="auto"/>
                <w:left w:val="none" w:sz="0" w:space="0" w:color="auto"/>
                <w:bottom w:val="none" w:sz="0" w:space="0" w:color="auto"/>
                <w:right w:val="none" w:sz="0" w:space="0" w:color="auto"/>
              </w:divBdr>
              <w:divsChild>
                <w:div w:id="15509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4818">
      <w:bodyDiv w:val="1"/>
      <w:marLeft w:val="0"/>
      <w:marRight w:val="0"/>
      <w:marTop w:val="0"/>
      <w:marBottom w:val="0"/>
      <w:divBdr>
        <w:top w:val="none" w:sz="0" w:space="0" w:color="auto"/>
        <w:left w:val="none" w:sz="0" w:space="0" w:color="auto"/>
        <w:bottom w:val="none" w:sz="0" w:space="0" w:color="auto"/>
        <w:right w:val="none" w:sz="0" w:space="0" w:color="auto"/>
      </w:divBdr>
      <w:divsChild>
        <w:div w:id="2112895508">
          <w:marLeft w:val="0"/>
          <w:marRight w:val="0"/>
          <w:marTop w:val="0"/>
          <w:marBottom w:val="0"/>
          <w:divBdr>
            <w:top w:val="none" w:sz="0" w:space="0" w:color="auto"/>
            <w:left w:val="none" w:sz="0" w:space="0" w:color="auto"/>
            <w:bottom w:val="none" w:sz="0" w:space="0" w:color="auto"/>
            <w:right w:val="none" w:sz="0" w:space="0" w:color="auto"/>
          </w:divBdr>
          <w:divsChild>
            <w:div w:id="1286156371">
              <w:marLeft w:val="0"/>
              <w:marRight w:val="0"/>
              <w:marTop w:val="0"/>
              <w:marBottom w:val="0"/>
              <w:divBdr>
                <w:top w:val="none" w:sz="0" w:space="0" w:color="auto"/>
                <w:left w:val="none" w:sz="0" w:space="0" w:color="auto"/>
                <w:bottom w:val="none" w:sz="0" w:space="0" w:color="auto"/>
                <w:right w:val="none" w:sz="0" w:space="0" w:color="auto"/>
              </w:divBdr>
              <w:divsChild>
                <w:div w:id="737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301">
      <w:bodyDiv w:val="1"/>
      <w:marLeft w:val="0"/>
      <w:marRight w:val="0"/>
      <w:marTop w:val="0"/>
      <w:marBottom w:val="0"/>
      <w:divBdr>
        <w:top w:val="none" w:sz="0" w:space="0" w:color="auto"/>
        <w:left w:val="none" w:sz="0" w:space="0" w:color="auto"/>
        <w:bottom w:val="none" w:sz="0" w:space="0" w:color="auto"/>
        <w:right w:val="none" w:sz="0" w:space="0" w:color="auto"/>
      </w:divBdr>
    </w:div>
    <w:div w:id="1610431883">
      <w:bodyDiv w:val="1"/>
      <w:marLeft w:val="0"/>
      <w:marRight w:val="0"/>
      <w:marTop w:val="0"/>
      <w:marBottom w:val="0"/>
      <w:divBdr>
        <w:top w:val="none" w:sz="0" w:space="0" w:color="auto"/>
        <w:left w:val="none" w:sz="0" w:space="0" w:color="auto"/>
        <w:bottom w:val="none" w:sz="0" w:space="0" w:color="auto"/>
        <w:right w:val="none" w:sz="0" w:space="0" w:color="auto"/>
      </w:divBdr>
      <w:divsChild>
        <w:div w:id="1621111450">
          <w:marLeft w:val="0"/>
          <w:marRight w:val="0"/>
          <w:marTop w:val="0"/>
          <w:marBottom w:val="0"/>
          <w:divBdr>
            <w:top w:val="none" w:sz="0" w:space="0" w:color="auto"/>
            <w:left w:val="none" w:sz="0" w:space="0" w:color="auto"/>
            <w:bottom w:val="none" w:sz="0" w:space="0" w:color="auto"/>
            <w:right w:val="none" w:sz="0" w:space="0" w:color="auto"/>
          </w:divBdr>
          <w:divsChild>
            <w:div w:id="1393701197">
              <w:marLeft w:val="0"/>
              <w:marRight w:val="0"/>
              <w:marTop w:val="0"/>
              <w:marBottom w:val="0"/>
              <w:divBdr>
                <w:top w:val="none" w:sz="0" w:space="0" w:color="auto"/>
                <w:left w:val="none" w:sz="0" w:space="0" w:color="auto"/>
                <w:bottom w:val="none" w:sz="0" w:space="0" w:color="auto"/>
                <w:right w:val="none" w:sz="0" w:space="0" w:color="auto"/>
              </w:divBdr>
              <w:divsChild>
                <w:div w:id="20657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1110">
      <w:bodyDiv w:val="1"/>
      <w:marLeft w:val="0"/>
      <w:marRight w:val="0"/>
      <w:marTop w:val="0"/>
      <w:marBottom w:val="0"/>
      <w:divBdr>
        <w:top w:val="none" w:sz="0" w:space="0" w:color="auto"/>
        <w:left w:val="none" w:sz="0" w:space="0" w:color="auto"/>
        <w:bottom w:val="none" w:sz="0" w:space="0" w:color="auto"/>
        <w:right w:val="none" w:sz="0" w:space="0" w:color="auto"/>
      </w:divBdr>
      <w:divsChild>
        <w:div w:id="1929607095">
          <w:marLeft w:val="0"/>
          <w:marRight w:val="0"/>
          <w:marTop w:val="0"/>
          <w:marBottom w:val="0"/>
          <w:divBdr>
            <w:top w:val="none" w:sz="0" w:space="0" w:color="auto"/>
            <w:left w:val="none" w:sz="0" w:space="0" w:color="auto"/>
            <w:bottom w:val="none" w:sz="0" w:space="0" w:color="auto"/>
            <w:right w:val="none" w:sz="0" w:space="0" w:color="auto"/>
          </w:divBdr>
          <w:divsChild>
            <w:div w:id="193810611">
              <w:marLeft w:val="0"/>
              <w:marRight w:val="0"/>
              <w:marTop w:val="0"/>
              <w:marBottom w:val="0"/>
              <w:divBdr>
                <w:top w:val="none" w:sz="0" w:space="0" w:color="auto"/>
                <w:left w:val="none" w:sz="0" w:space="0" w:color="auto"/>
                <w:bottom w:val="none" w:sz="0" w:space="0" w:color="auto"/>
                <w:right w:val="none" w:sz="0" w:space="0" w:color="auto"/>
              </w:divBdr>
              <w:divsChild>
                <w:div w:id="5008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3778">
      <w:bodyDiv w:val="1"/>
      <w:marLeft w:val="0"/>
      <w:marRight w:val="0"/>
      <w:marTop w:val="0"/>
      <w:marBottom w:val="0"/>
      <w:divBdr>
        <w:top w:val="none" w:sz="0" w:space="0" w:color="auto"/>
        <w:left w:val="none" w:sz="0" w:space="0" w:color="auto"/>
        <w:bottom w:val="none" w:sz="0" w:space="0" w:color="auto"/>
        <w:right w:val="none" w:sz="0" w:space="0" w:color="auto"/>
      </w:divBdr>
      <w:divsChild>
        <w:div w:id="296188235">
          <w:marLeft w:val="0"/>
          <w:marRight w:val="0"/>
          <w:marTop w:val="0"/>
          <w:marBottom w:val="0"/>
          <w:divBdr>
            <w:top w:val="none" w:sz="0" w:space="0" w:color="auto"/>
            <w:left w:val="none" w:sz="0" w:space="0" w:color="auto"/>
            <w:bottom w:val="none" w:sz="0" w:space="0" w:color="auto"/>
            <w:right w:val="none" w:sz="0" w:space="0" w:color="auto"/>
          </w:divBdr>
          <w:divsChild>
            <w:div w:id="11222698">
              <w:marLeft w:val="0"/>
              <w:marRight w:val="0"/>
              <w:marTop w:val="0"/>
              <w:marBottom w:val="0"/>
              <w:divBdr>
                <w:top w:val="none" w:sz="0" w:space="0" w:color="auto"/>
                <w:left w:val="none" w:sz="0" w:space="0" w:color="auto"/>
                <w:bottom w:val="none" w:sz="0" w:space="0" w:color="auto"/>
                <w:right w:val="none" w:sz="0" w:space="0" w:color="auto"/>
              </w:divBdr>
              <w:divsChild>
                <w:div w:id="13882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9402">
      <w:bodyDiv w:val="1"/>
      <w:marLeft w:val="0"/>
      <w:marRight w:val="0"/>
      <w:marTop w:val="0"/>
      <w:marBottom w:val="0"/>
      <w:divBdr>
        <w:top w:val="none" w:sz="0" w:space="0" w:color="auto"/>
        <w:left w:val="none" w:sz="0" w:space="0" w:color="auto"/>
        <w:bottom w:val="none" w:sz="0" w:space="0" w:color="auto"/>
        <w:right w:val="none" w:sz="0" w:space="0" w:color="auto"/>
      </w:divBdr>
      <w:divsChild>
        <w:div w:id="501437022">
          <w:marLeft w:val="0"/>
          <w:marRight w:val="0"/>
          <w:marTop w:val="0"/>
          <w:marBottom w:val="0"/>
          <w:divBdr>
            <w:top w:val="none" w:sz="0" w:space="0" w:color="auto"/>
            <w:left w:val="none" w:sz="0" w:space="0" w:color="auto"/>
            <w:bottom w:val="none" w:sz="0" w:space="0" w:color="auto"/>
            <w:right w:val="none" w:sz="0" w:space="0" w:color="auto"/>
          </w:divBdr>
          <w:divsChild>
            <w:div w:id="1284455953">
              <w:marLeft w:val="0"/>
              <w:marRight w:val="0"/>
              <w:marTop w:val="0"/>
              <w:marBottom w:val="0"/>
              <w:divBdr>
                <w:top w:val="none" w:sz="0" w:space="0" w:color="auto"/>
                <w:left w:val="none" w:sz="0" w:space="0" w:color="auto"/>
                <w:bottom w:val="none" w:sz="0" w:space="0" w:color="auto"/>
                <w:right w:val="none" w:sz="0" w:space="0" w:color="auto"/>
              </w:divBdr>
              <w:divsChild>
                <w:div w:id="10079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5D57-D622-45F1-8A1D-068BB5E4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436</cp:revision>
  <dcterms:created xsi:type="dcterms:W3CDTF">2022-01-19T19:27:00Z</dcterms:created>
  <dcterms:modified xsi:type="dcterms:W3CDTF">2022-05-19T03:33:00Z</dcterms:modified>
</cp:coreProperties>
</file>