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2A82" w14:textId="5458B02F" w:rsidR="000B5DD6" w:rsidRPr="00FC69E7" w:rsidRDefault="000B5DD6" w:rsidP="004F25D6">
      <w:pPr>
        <w:pStyle w:val="ListParagraph"/>
        <w:ind w:left="0" w:right="0"/>
        <w:jc w:val="both"/>
        <w:rPr>
          <w:rFonts w:cs="Times New Roman"/>
          <w:b/>
          <w:bCs/>
          <w:sz w:val="28"/>
          <w:szCs w:val="28"/>
        </w:rPr>
      </w:pPr>
      <w:r w:rsidRPr="00FC69E7">
        <w:rPr>
          <w:rFonts w:cs="Times New Roman"/>
          <w:b/>
          <w:bCs/>
          <w:sz w:val="28"/>
          <w:szCs w:val="28"/>
        </w:rPr>
        <w:t>7.0</w:t>
      </w:r>
      <w:r w:rsidR="00DA7BFA">
        <w:rPr>
          <w:rFonts w:cs="Times New Roman"/>
          <w:b/>
          <w:bCs/>
          <w:sz w:val="28"/>
          <w:szCs w:val="28"/>
        </w:rPr>
        <w:t>8</w:t>
      </w:r>
      <w:r w:rsidR="009A7F47" w:rsidRPr="00FC69E7">
        <w:rPr>
          <w:rFonts w:cs="Times New Roman"/>
          <w:b/>
          <w:bCs/>
          <w:sz w:val="28"/>
          <w:szCs w:val="28"/>
        </w:rPr>
        <w:t xml:space="preserve"> </w:t>
      </w:r>
      <w:r w:rsidR="004375C2" w:rsidRPr="00FC69E7">
        <w:rPr>
          <w:rFonts w:cs="Times New Roman"/>
          <w:b/>
          <w:bCs/>
          <w:sz w:val="28"/>
          <w:szCs w:val="28"/>
        </w:rPr>
        <w:t xml:space="preserve">Child Sexual Abuse </w:t>
      </w:r>
      <w:r w:rsidR="003319D6" w:rsidRPr="00FC69E7">
        <w:rPr>
          <w:rFonts w:cs="Times New Roman"/>
          <w:b/>
          <w:bCs/>
          <w:sz w:val="28"/>
          <w:szCs w:val="28"/>
        </w:rPr>
        <w:t>Syndrome</w:t>
      </w:r>
    </w:p>
    <w:p w14:paraId="5A6D99C3" w14:textId="77777777" w:rsidR="000B5DD6" w:rsidRPr="00FC69E7" w:rsidRDefault="000B5DD6" w:rsidP="004F25D6">
      <w:pPr>
        <w:ind w:left="0" w:right="0"/>
        <w:jc w:val="both"/>
        <w:rPr>
          <w:rFonts w:cs="Times New Roman"/>
          <w:b/>
          <w:bCs/>
          <w:sz w:val="28"/>
          <w:szCs w:val="28"/>
        </w:rPr>
      </w:pPr>
    </w:p>
    <w:p w14:paraId="39B0B431" w14:textId="4072AB67" w:rsidR="000B5DD6" w:rsidRPr="00FC69E7" w:rsidRDefault="000B5DD6" w:rsidP="004F25D6">
      <w:pPr>
        <w:pStyle w:val="ListParagraph"/>
        <w:ind w:left="720" w:right="720"/>
        <w:jc w:val="both"/>
        <w:rPr>
          <w:rFonts w:eastAsia="Times New Roman" w:cs="Times New Roman"/>
          <w:b/>
          <w:bCs/>
          <w:sz w:val="28"/>
          <w:szCs w:val="28"/>
          <w:lang w:val="x-none"/>
        </w:rPr>
      </w:pPr>
      <w:r w:rsidRPr="00FC69E7">
        <w:rPr>
          <w:rFonts w:eastAsia="Times New Roman" w:cs="Times New Roman"/>
          <w:b/>
          <w:bCs/>
          <w:sz w:val="28"/>
          <w:szCs w:val="28"/>
        </w:rPr>
        <w:t xml:space="preserve">(1) </w:t>
      </w:r>
      <w:r w:rsidR="004375C2" w:rsidRPr="00FC69E7">
        <w:rPr>
          <w:rFonts w:eastAsia="Times New Roman" w:cs="Times New Roman"/>
          <w:b/>
          <w:bCs/>
          <w:sz w:val="28"/>
          <w:szCs w:val="28"/>
        </w:rPr>
        <w:t xml:space="preserve">Child </w:t>
      </w:r>
      <w:r w:rsidR="009648BD" w:rsidRPr="00FC69E7">
        <w:rPr>
          <w:rFonts w:eastAsia="Times New Roman" w:cs="Times New Roman"/>
          <w:b/>
          <w:bCs/>
          <w:sz w:val="28"/>
          <w:szCs w:val="28"/>
        </w:rPr>
        <w:t xml:space="preserve">Sexual Abuse </w:t>
      </w:r>
      <w:r w:rsidR="003319D6" w:rsidRPr="00FC69E7">
        <w:rPr>
          <w:rFonts w:eastAsia="Times New Roman" w:cs="Times New Roman"/>
          <w:b/>
          <w:bCs/>
          <w:sz w:val="28"/>
          <w:szCs w:val="28"/>
        </w:rPr>
        <w:t>Syndrome</w:t>
      </w:r>
      <w:r w:rsidR="009648BD" w:rsidRPr="00FC69E7">
        <w:rPr>
          <w:rFonts w:eastAsia="Times New Roman" w:cs="Times New Roman"/>
          <w:b/>
          <w:bCs/>
          <w:sz w:val="28"/>
          <w:szCs w:val="28"/>
        </w:rPr>
        <w:t xml:space="preserve"> </w:t>
      </w:r>
      <w:bookmarkStart w:id="0" w:name="_Hlk73454274"/>
      <w:r w:rsidR="00CC4388" w:rsidRPr="00FC69E7">
        <w:rPr>
          <w:rFonts w:eastAsia="Times New Roman" w:cs="Times New Roman"/>
          <w:b/>
          <w:bCs/>
          <w:sz w:val="28"/>
          <w:szCs w:val="28"/>
        </w:rPr>
        <w:t>(</w:t>
      </w:r>
      <w:r w:rsidR="003319D6" w:rsidRPr="00FC69E7">
        <w:rPr>
          <w:rFonts w:eastAsia="Times New Roman" w:cs="Times New Roman"/>
          <w:b/>
          <w:bCs/>
          <w:sz w:val="28"/>
          <w:szCs w:val="28"/>
        </w:rPr>
        <w:t>CSAS</w:t>
      </w:r>
      <w:r w:rsidR="00CC4388" w:rsidRPr="00FC69E7">
        <w:rPr>
          <w:rFonts w:eastAsia="Times New Roman" w:cs="Times New Roman"/>
          <w:b/>
          <w:bCs/>
          <w:sz w:val="28"/>
          <w:szCs w:val="28"/>
        </w:rPr>
        <w:t>)</w:t>
      </w:r>
      <w:r w:rsidR="00455011" w:rsidRPr="00FC69E7">
        <w:rPr>
          <w:rFonts w:eastAsia="Times New Roman" w:cs="Times New Roman"/>
          <w:b/>
          <w:bCs/>
          <w:sz w:val="28"/>
          <w:szCs w:val="28"/>
        </w:rPr>
        <w:t>, like</w:t>
      </w:r>
      <w:r w:rsidR="00941303" w:rsidRPr="00FC69E7">
        <w:rPr>
          <w:rFonts w:eastAsia="Times New Roman" w:cs="Times New Roman"/>
          <w:b/>
          <w:bCs/>
          <w:sz w:val="28"/>
          <w:szCs w:val="28"/>
        </w:rPr>
        <w:t xml:space="preserve"> </w:t>
      </w:r>
      <w:bookmarkEnd w:id="0"/>
      <w:r w:rsidR="004660A5" w:rsidRPr="00FC69E7">
        <w:rPr>
          <w:rFonts w:eastAsia="Times New Roman" w:cs="Times New Roman"/>
          <w:b/>
          <w:bCs/>
          <w:sz w:val="28"/>
          <w:szCs w:val="28"/>
        </w:rPr>
        <w:t>Rape Trauma Syndrome</w:t>
      </w:r>
      <w:r w:rsidR="00455011" w:rsidRPr="00FC69E7">
        <w:rPr>
          <w:rFonts w:eastAsia="Times New Roman" w:cs="Times New Roman"/>
          <w:b/>
          <w:bCs/>
          <w:sz w:val="28"/>
          <w:szCs w:val="28"/>
        </w:rPr>
        <w:t>,</w:t>
      </w:r>
      <w:r w:rsidR="004660A5" w:rsidRPr="00FC69E7">
        <w:rPr>
          <w:rFonts w:eastAsia="Times New Roman" w:cs="Times New Roman"/>
          <w:b/>
          <w:bCs/>
          <w:sz w:val="28"/>
          <w:szCs w:val="28"/>
          <w:lang w:val="x-none"/>
        </w:rPr>
        <w:t xml:space="preserve"> </w:t>
      </w:r>
      <w:r w:rsidRPr="00FC69E7">
        <w:rPr>
          <w:rFonts w:eastAsia="Times New Roman" w:cs="Times New Roman"/>
          <w:b/>
          <w:bCs/>
          <w:sz w:val="28"/>
          <w:szCs w:val="28"/>
          <w:lang w:val="x-none"/>
        </w:rPr>
        <w:t>is a therapeutic concept</w:t>
      </w:r>
      <w:r w:rsidRPr="00FC69E7">
        <w:rPr>
          <w:rFonts w:eastAsia="Times New Roman" w:cs="Times New Roman"/>
          <w:b/>
          <w:bCs/>
          <w:sz w:val="28"/>
          <w:szCs w:val="28"/>
        </w:rPr>
        <w:t xml:space="preserve"> encompassing identifiable </w:t>
      </w:r>
      <w:r w:rsidRPr="00FC69E7">
        <w:rPr>
          <w:rFonts w:eastAsia="Times New Roman" w:cs="Times New Roman"/>
          <w:b/>
          <w:bCs/>
          <w:sz w:val="28"/>
          <w:szCs w:val="28"/>
          <w:lang w:val="x-none"/>
        </w:rPr>
        <w:t>behavioral, somatic, and</w:t>
      </w:r>
      <w:r w:rsidRPr="00FC69E7">
        <w:rPr>
          <w:rFonts w:eastAsia="Times New Roman" w:cs="Times New Roman"/>
          <w:b/>
          <w:bCs/>
          <w:sz w:val="28"/>
          <w:szCs w:val="28"/>
        </w:rPr>
        <w:t xml:space="preserve"> </w:t>
      </w:r>
      <w:r w:rsidRPr="00FC69E7">
        <w:rPr>
          <w:rFonts w:eastAsia="Times New Roman" w:cs="Times New Roman"/>
          <w:b/>
          <w:bCs/>
          <w:sz w:val="28"/>
          <w:szCs w:val="28"/>
          <w:lang w:val="x-none"/>
        </w:rPr>
        <w:t>psychological reactions</w:t>
      </w:r>
      <w:r w:rsidRPr="00FC69E7">
        <w:rPr>
          <w:rFonts w:eastAsia="Times New Roman" w:cs="Times New Roman"/>
          <w:b/>
          <w:bCs/>
          <w:sz w:val="28"/>
          <w:szCs w:val="28"/>
        </w:rPr>
        <w:t xml:space="preserve"> a person may experience after </w:t>
      </w:r>
      <w:r w:rsidR="009A6E33" w:rsidRPr="00FC69E7">
        <w:rPr>
          <w:rFonts w:eastAsia="Times New Roman" w:cs="Times New Roman"/>
          <w:b/>
          <w:bCs/>
          <w:sz w:val="28"/>
          <w:szCs w:val="28"/>
        </w:rPr>
        <w:t xml:space="preserve">sexual abuse or </w:t>
      </w:r>
      <w:r w:rsidR="00D22CBD" w:rsidRPr="00FC69E7">
        <w:rPr>
          <w:rFonts w:eastAsia="Times New Roman" w:cs="Times New Roman"/>
          <w:b/>
          <w:bCs/>
          <w:sz w:val="28"/>
          <w:szCs w:val="28"/>
        </w:rPr>
        <w:t>attempt thereof.</w:t>
      </w:r>
    </w:p>
    <w:p w14:paraId="4AFD9A49" w14:textId="77777777" w:rsidR="000B5DD6" w:rsidRPr="00FC69E7" w:rsidRDefault="000B5DD6" w:rsidP="004F25D6">
      <w:pPr>
        <w:ind w:left="0" w:right="720"/>
        <w:jc w:val="both"/>
        <w:rPr>
          <w:rFonts w:eastAsia="Times New Roman" w:cs="Times New Roman"/>
          <w:b/>
          <w:bCs/>
          <w:sz w:val="28"/>
          <w:szCs w:val="28"/>
        </w:rPr>
      </w:pPr>
    </w:p>
    <w:p w14:paraId="0D92FE6D" w14:textId="7363AE84" w:rsidR="00A67AEE" w:rsidRPr="00FC69E7" w:rsidRDefault="000B5DD6" w:rsidP="004F25D6">
      <w:pPr>
        <w:ind w:left="720" w:right="720"/>
        <w:jc w:val="both"/>
        <w:rPr>
          <w:rFonts w:eastAsia="Times New Roman" w:cs="Times New Roman"/>
          <w:b/>
          <w:bCs/>
          <w:sz w:val="28"/>
          <w:szCs w:val="28"/>
        </w:rPr>
      </w:pPr>
      <w:r w:rsidRPr="00FC69E7">
        <w:rPr>
          <w:rFonts w:eastAsia="Times New Roman" w:cs="Times New Roman"/>
          <w:b/>
          <w:bCs/>
          <w:sz w:val="28"/>
          <w:szCs w:val="28"/>
        </w:rPr>
        <w:t xml:space="preserve">(2) </w:t>
      </w:r>
      <w:r w:rsidR="00A67AEE" w:rsidRPr="00FC69E7">
        <w:rPr>
          <w:rFonts w:eastAsia="Times New Roman" w:cs="Times New Roman"/>
          <w:b/>
          <w:bCs/>
          <w:sz w:val="28"/>
          <w:szCs w:val="28"/>
        </w:rPr>
        <w:t xml:space="preserve">The admissibility of expert testimony about an identifiable </w:t>
      </w:r>
      <w:r w:rsidR="00551384" w:rsidRPr="00FC69E7">
        <w:rPr>
          <w:rFonts w:eastAsia="Times New Roman" w:cs="Times New Roman"/>
          <w:b/>
          <w:sz w:val="28"/>
          <w:szCs w:val="28"/>
        </w:rPr>
        <w:t>CSAS</w:t>
      </w:r>
      <w:r w:rsidR="00A67AEE" w:rsidRPr="00FC69E7">
        <w:rPr>
          <w:rFonts w:eastAsia="Times New Roman" w:cs="Times New Roman"/>
          <w:b/>
          <w:bCs/>
          <w:sz w:val="28"/>
          <w:szCs w:val="28"/>
        </w:rPr>
        <w:t xml:space="preserve"> reaction depends </w:t>
      </w:r>
      <w:r w:rsidR="00A67AEE" w:rsidRPr="00FC69E7">
        <w:rPr>
          <w:rFonts w:eastAsia="Times New Roman" w:cs="Times New Roman"/>
          <w:b/>
          <w:sz w:val="28"/>
          <w:szCs w:val="28"/>
        </w:rPr>
        <w:t>on meeting the criteria of Guide to N</w:t>
      </w:r>
      <w:r w:rsidR="00CC4388" w:rsidRPr="00FC69E7">
        <w:rPr>
          <w:rFonts w:eastAsia="Times New Roman" w:cs="Times New Roman"/>
          <w:b/>
          <w:sz w:val="28"/>
          <w:szCs w:val="28"/>
        </w:rPr>
        <w:t xml:space="preserve">ew </w:t>
      </w:r>
      <w:r w:rsidR="00A67AEE" w:rsidRPr="00FC69E7">
        <w:rPr>
          <w:rFonts w:eastAsia="Times New Roman" w:cs="Times New Roman"/>
          <w:b/>
          <w:sz w:val="28"/>
          <w:szCs w:val="28"/>
        </w:rPr>
        <w:t>Y</w:t>
      </w:r>
      <w:r w:rsidR="00CC4388" w:rsidRPr="00FC69E7">
        <w:rPr>
          <w:rFonts w:eastAsia="Times New Roman" w:cs="Times New Roman"/>
          <w:b/>
          <w:sz w:val="28"/>
          <w:szCs w:val="28"/>
        </w:rPr>
        <w:t>ork</w:t>
      </w:r>
      <w:r w:rsidR="00A67AEE" w:rsidRPr="00FC69E7">
        <w:rPr>
          <w:rFonts w:eastAsia="Times New Roman" w:cs="Times New Roman"/>
          <w:b/>
          <w:sz w:val="28"/>
          <w:szCs w:val="28"/>
        </w:rPr>
        <w:t xml:space="preserve"> Evidence rule 7.01 </w:t>
      </w:r>
      <w:r w:rsidR="004F2E86" w:rsidRPr="00FC69E7">
        <w:rPr>
          <w:rFonts w:eastAsia="Times New Roman" w:cs="Times New Roman"/>
          <w:b/>
          <w:sz w:val="28"/>
          <w:szCs w:val="28"/>
        </w:rPr>
        <w:t>and</w:t>
      </w:r>
      <w:r w:rsidR="008906AC" w:rsidRPr="00FC69E7">
        <w:rPr>
          <w:rFonts w:eastAsia="Times New Roman" w:cs="Times New Roman"/>
          <w:b/>
          <w:sz w:val="28"/>
          <w:szCs w:val="28"/>
        </w:rPr>
        <w:t xml:space="preserve"> </w:t>
      </w:r>
      <w:r w:rsidR="004F2E86" w:rsidRPr="00FC69E7">
        <w:rPr>
          <w:rFonts w:eastAsia="Times New Roman" w:cs="Times New Roman"/>
          <w:b/>
          <w:sz w:val="28"/>
          <w:szCs w:val="28"/>
        </w:rPr>
        <w:t>on the reason</w:t>
      </w:r>
      <w:r w:rsidR="00A67AEE" w:rsidRPr="00FC69E7">
        <w:rPr>
          <w:rFonts w:eastAsia="Times New Roman" w:cs="Times New Roman"/>
          <w:b/>
          <w:bCs/>
          <w:sz w:val="28"/>
          <w:szCs w:val="28"/>
        </w:rPr>
        <w:t xml:space="preserve"> given that the evidence </w:t>
      </w:r>
      <w:bookmarkStart w:id="1" w:name="_Hlk78214472"/>
      <w:r w:rsidR="00A67AEE" w:rsidRPr="00FC69E7">
        <w:rPr>
          <w:rFonts w:eastAsia="Times New Roman" w:cs="Times New Roman"/>
          <w:b/>
          <w:bCs/>
          <w:sz w:val="28"/>
          <w:szCs w:val="28"/>
        </w:rPr>
        <w:t>would be relevant and helpful to a jury to understand an issue in the proceeding.</w:t>
      </w:r>
      <w:bookmarkEnd w:id="1"/>
    </w:p>
    <w:p w14:paraId="29563392" w14:textId="77777777" w:rsidR="00061603" w:rsidRPr="00FC69E7" w:rsidRDefault="00061603" w:rsidP="004F25D6">
      <w:pPr>
        <w:ind w:left="0" w:right="720"/>
        <w:jc w:val="both"/>
        <w:rPr>
          <w:rFonts w:eastAsia="Times New Roman" w:cs="Times New Roman"/>
          <w:b/>
          <w:bCs/>
          <w:sz w:val="28"/>
          <w:szCs w:val="28"/>
        </w:rPr>
      </w:pPr>
    </w:p>
    <w:p w14:paraId="547E3859" w14:textId="4D91B983" w:rsidR="000061F1" w:rsidRPr="00FC69E7" w:rsidRDefault="00EE3738" w:rsidP="004F25D6">
      <w:pPr>
        <w:pStyle w:val="ListParagraph"/>
        <w:ind w:left="1440" w:right="720"/>
        <w:jc w:val="both"/>
        <w:rPr>
          <w:rFonts w:eastAsia="Times New Roman" w:cs="Times New Roman"/>
          <w:b/>
          <w:bCs/>
          <w:sz w:val="28"/>
          <w:szCs w:val="28"/>
        </w:rPr>
      </w:pPr>
      <w:r w:rsidRPr="00FC69E7">
        <w:rPr>
          <w:rFonts w:eastAsia="Times New Roman" w:cs="Times New Roman"/>
          <w:b/>
          <w:bCs/>
          <w:sz w:val="28"/>
          <w:szCs w:val="28"/>
        </w:rPr>
        <w:t>(a)</w:t>
      </w:r>
      <w:r w:rsidR="009E5D56" w:rsidRPr="00FC69E7">
        <w:rPr>
          <w:rFonts w:eastAsia="Times New Roman" w:cs="Times New Roman"/>
          <w:b/>
          <w:bCs/>
          <w:sz w:val="28"/>
          <w:szCs w:val="28"/>
        </w:rPr>
        <w:t xml:space="preserve"> </w:t>
      </w:r>
      <w:r w:rsidR="00A2188D" w:rsidRPr="00FC69E7">
        <w:rPr>
          <w:rFonts w:eastAsia="Times New Roman" w:cs="Times New Roman"/>
          <w:b/>
          <w:bCs/>
          <w:sz w:val="28"/>
          <w:szCs w:val="28"/>
        </w:rPr>
        <w:t xml:space="preserve">In general, </w:t>
      </w:r>
      <w:r w:rsidR="00A327C7" w:rsidRPr="00FC69E7">
        <w:rPr>
          <w:rFonts w:eastAsia="Times New Roman" w:cs="Times New Roman"/>
          <w:b/>
          <w:bCs/>
          <w:sz w:val="28"/>
          <w:szCs w:val="28"/>
        </w:rPr>
        <w:t>in the exercise of a trial court</w:t>
      </w:r>
      <w:r w:rsidR="00EB2AFA" w:rsidRPr="00FC69E7">
        <w:rPr>
          <w:rFonts w:eastAsia="Times New Roman" w:cs="Times New Roman"/>
          <w:b/>
          <w:bCs/>
          <w:sz w:val="28"/>
          <w:szCs w:val="28"/>
        </w:rPr>
        <w:t>’</w:t>
      </w:r>
      <w:r w:rsidR="00A327C7" w:rsidRPr="00FC69E7">
        <w:rPr>
          <w:rFonts w:eastAsia="Times New Roman" w:cs="Times New Roman"/>
          <w:b/>
          <w:bCs/>
          <w:sz w:val="28"/>
          <w:szCs w:val="28"/>
        </w:rPr>
        <w:t xml:space="preserve">s discretion, </w:t>
      </w:r>
      <w:r w:rsidR="00321352" w:rsidRPr="00FC69E7">
        <w:rPr>
          <w:rFonts w:eastAsia="Times New Roman" w:cs="Times New Roman"/>
          <w:b/>
          <w:bCs/>
          <w:sz w:val="28"/>
          <w:szCs w:val="28"/>
        </w:rPr>
        <w:t>expert testimony</w:t>
      </w:r>
      <w:r w:rsidR="00A2188D" w:rsidRPr="00FC69E7">
        <w:rPr>
          <w:rFonts w:eastAsia="Times New Roman" w:cs="Times New Roman"/>
          <w:b/>
          <w:bCs/>
          <w:sz w:val="28"/>
          <w:szCs w:val="28"/>
        </w:rPr>
        <w:t xml:space="preserve"> </w:t>
      </w:r>
      <w:r w:rsidR="00061603" w:rsidRPr="00FC69E7">
        <w:rPr>
          <w:rFonts w:eastAsia="Times New Roman" w:cs="Times New Roman"/>
          <w:b/>
          <w:bCs/>
          <w:sz w:val="28"/>
          <w:szCs w:val="28"/>
        </w:rPr>
        <w:t xml:space="preserve">may be </w:t>
      </w:r>
      <w:r w:rsidR="00A2188D" w:rsidRPr="00FC69E7">
        <w:rPr>
          <w:rFonts w:eastAsia="Times New Roman" w:cs="Times New Roman"/>
          <w:b/>
          <w:bCs/>
          <w:sz w:val="28"/>
          <w:szCs w:val="28"/>
        </w:rPr>
        <w:t xml:space="preserve">admissible </w:t>
      </w:r>
      <w:r w:rsidR="00061603" w:rsidRPr="00FC69E7">
        <w:rPr>
          <w:rFonts w:eastAsia="Times New Roman" w:cs="Times New Roman"/>
          <w:b/>
          <w:bCs/>
          <w:sz w:val="28"/>
          <w:szCs w:val="28"/>
        </w:rPr>
        <w:t xml:space="preserve">to explain </w:t>
      </w:r>
      <w:r w:rsidR="00B105B7" w:rsidRPr="00FC69E7">
        <w:rPr>
          <w:rFonts w:eastAsia="Times New Roman" w:cs="Times New Roman"/>
          <w:b/>
          <w:bCs/>
          <w:sz w:val="28"/>
          <w:szCs w:val="28"/>
        </w:rPr>
        <w:t>the</w:t>
      </w:r>
      <w:r w:rsidR="000061F1" w:rsidRPr="00FC69E7">
        <w:rPr>
          <w:rFonts w:eastAsia="Times New Roman" w:cs="Times New Roman"/>
          <w:b/>
          <w:bCs/>
          <w:sz w:val="28"/>
          <w:szCs w:val="28"/>
        </w:rPr>
        <w:t xml:space="preserve"> behavior of a </w:t>
      </w:r>
      <w:r w:rsidR="00B105B7" w:rsidRPr="00FC69E7">
        <w:rPr>
          <w:rFonts w:eastAsia="Times New Roman" w:cs="Times New Roman"/>
          <w:b/>
          <w:bCs/>
          <w:sz w:val="28"/>
          <w:szCs w:val="28"/>
        </w:rPr>
        <w:t>c</w:t>
      </w:r>
      <w:r w:rsidR="00FD6218" w:rsidRPr="00FC69E7">
        <w:rPr>
          <w:rFonts w:eastAsia="Times New Roman" w:cs="Times New Roman"/>
          <w:b/>
          <w:bCs/>
          <w:sz w:val="28"/>
          <w:szCs w:val="28"/>
        </w:rPr>
        <w:t xml:space="preserve">omplainant </w:t>
      </w:r>
      <w:r w:rsidR="000061F1" w:rsidRPr="00FC69E7">
        <w:rPr>
          <w:rFonts w:eastAsia="Times New Roman" w:cs="Times New Roman"/>
          <w:b/>
          <w:bCs/>
          <w:sz w:val="28"/>
          <w:szCs w:val="28"/>
        </w:rPr>
        <w:t>that might appear unusual or that jurors may not be expected to understand</w:t>
      </w:r>
      <w:r w:rsidR="00061603" w:rsidRPr="00FC69E7">
        <w:rPr>
          <w:rFonts w:eastAsia="Times New Roman" w:cs="Times New Roman"/>
          <w:b/>
          <w:bCs/>
          <w:sz w:val="28"/>
          <w:szCs w:val="28"/>
        </w:rPr>
        <w:t>.</w:t>
      </w:r>
    </w:p>
    <w:p w14:paraId="256DCE8E" w14:textId="77777777" w:rsidR="000061F1" w:rsidRPr="00FC69E7" w:rsidRDefault="000061F1" w:rsidP="004F25D6">
      <w:pPr>
        <w:ind w:left="0" w:right="720"/>
        <w:jc w:val="both"/>
        <w:rPr>
          <w:rFonts w:eastAsia="Times New Roman" w:cs="Times New Roman"/>
          <w:b/>
          <w:bCs/>
          <w:sz w:val="28"/>
          <w:szCs w:val="28"/>
        </w:rPr>
      </w:pPr>
    </w:p>
    <w:p w14:paraId="6485E3B9" w14:textId="4550765E" w:rsidR="000B5DD6" w:rsidRPr="00FC69E7" w:rsidRDefault="00EE3738" w:rsidP="004F25D6">
      <w:pPr>
        <w:ind w:left="1440" w:right="720"/>
        <w:jc w:val="both"/>
        <w:rPr>
          <w:rFonts w:cs="Times New Roman"/>
          <w:b/>
          <w:bCs/>
          <w:sz w:val="28"/>
          <w:szCs w:val="28"/>
        </w:rPr>
      </w:pPr>
      <w:r w:rsidRPr="00FC69E7">
        <w:rPr>
          <w:rFonts w:eastAsia="Times New Roman" w:cs="Times New Roman"/>
          <w:b/>
          <w:bCs/>
          <w:sz w:val="28"/>
          <w:szCs w:val="28"/>
        </w:rPr>
        <w:t>(b)</w:t>
      </w:r>
      <w:r w:rsidR="009E5D56" w:rsidRPr="00FC69E7">
        <w:rPr>
          <w:rFonts w:eastAsia="Times New Roman" w:cs="Times New Roman"/>
          <w:b/>
          <w:bCs/>
          <w:sz w:val="28"/>
          <w:szCs w:val="28"/>
        </w:rPr>
        <w:t xml:space="preserve"> </w:t>
      </w:r>
      <w:r w:rsidR="00061603" w:rsidRPr="00FC69E7">
        <w:rPr>
          <w:rFonts w:eastAsia="Times New Roman" w:cs="Times New Roman"/>
          <w:b/>
          <w:bCs/>
          <w:sz w:val="28"/>
          <w:szCs w:val="28"/>
        </w:rPr>
        <w:t>In particular,</w:t>
      </w:r>
      <w:r w:rsidR="00662202" w:rsidRPr="00FC69E7">
        <w:rPr>
          <w:rFonts w:eastAsia="Times New Roman" w:cs="Times New Roman"/>
          <w:b/>
          <w:bCs/>
          <w:sz w:val="28"/>
          <w:szCs w:val="28"/>
        </w:rPr>
        <w:t xml:space="preserve"> </w:t>
      </w:r>
      <w:r w:rsidR="00A327C7" w:rsidRPr="00FC69E7">
        <w:rPr>
          <w:rFonts w:eastAsia="Times New Roman" w:cs="Times New Roman"/>
          <w:b/>
          <w:bCs/>
          <w:sz w:val="28"/>
          <w:szCs w:val="28"/>
        </w:rPr>
        <w:t>in the exercise of a trial court</w:t>
      </w:r>
      <w:r w:rsidR="00EB2AFA" w:rsidRPr="00FC69E7">
        <w:rPr>
          <w:rFonts w:eastAsia="Times New Roman" w:cs="Times New Roman"/>
          <w:b/>
          <w:bCs/>
          <w:sz w:val="28"/>
          <w:szCs w:val="28"/>
        </w:rPr>
        <w:t>’</w:t>
      </w:r>
      <w:r w:rsidR="00A327C7" w:rsidRPr="00FC69E7">
        <w:rPr>
          <w:rFonts w:eastAsia="Times New Roman" w:cs="Times New Roman"/>
          <w:b/>
          <w:bCs/>
          <w:sz w:val="28"/>
          <w:szCs w:val="28"/>
        </w:rPr>
        <w:t xml:space="preserve">s discretion, </w:t>
      </w:r>
      <w:r w:rsidR="00321352" w:rsidRPr="00FC69E7">
        <w:rPr>
          <w:rFonts w:eastAsia="Times New Roman" w:cs="Times New Roman"/>
          <w:b/>
          <w:bCs/>
          <w:sz w:val="28"/>
          <w:szCs w:val="28"/>
        </w:rPr>
        <w:t xml:space="preserve">expert testimony </w:t>
      </w:r>
      <w:r w:rsidR="00061603" w:rsidRPr="00FC69E7">
        <w:rPr>
          <w:rFonts w:eastAsia="Times New Roman" w:cs="Times New Roman"/>
          <w:b/>
          <w:bCs/>
          <w:sz w:val="28"/>
          <w:szCs w:val="28"/>
        </w:rPr>
        <w:t>may</w:t>
      </w:r>
      <w:r w:rsidR="00662202" w:rsidRPr="00FC69E7">
        <w:rPr>
          <w:rFonts w:eastAsia="Times New Roman" w:cs="Times New Roman"/>
          <w:b/>
          <w:bCs/>
          <w:sz w:val="28"/>
          <w:szCs w:val="28"/>
        </w:rPr>
        <w:t xml:space="preserve">, for example, </w:t>
      </w:r>
      <w:r w:rsidR="00061603" w:rsidRPr="00FC69E7">
        <w:rPr>
          <w:rFonts w:eastAsia="Times New Roman" w:cs="Times New Roman"/>
          <w:b/>
          <w:bCs/>
          <w:sz w:val="28"/>
          <w:szCs w:val="28"/>
        </w:rPr>
        <w:t xml:space="preserve">be </w:t>
      </w:r>
      <w:r w:rsidR="000B5DD6" w:rsidRPr="00FC69E7">
        <w:rPr>
          <w:rFonts w:eastAsia="Times New Roman" w:cs="Times New Roman"/>
          <w:b/>
          <w:bCs/>
          <w:sz w:val="28"/>
          <w:szCs w:val="28"/>
        </w:rPr>
        <w:t>admissible</w:t>
      </w:r>
      <w:r w:rsidR="00662202" w:rsidRPr="00FC69E7">
        <w:rPr>
          <w:rFonts w:eastAsia="Times New Roman" w:cs="Times New Roman"/>
          <w:b/>
          <w:bCs/>
          <w:sz w:val="28"/>
          <w:szCs w:val="28"/>
        </w:rPr>
        <w:t xml:space="preserve"> </w:t>
      </w:r>
      <w:r w:rsidR="000B5DD6" w:rsidRPr="00FC69E7">
        <w:rPr>
          <w:rFonts w:eastAsia="Times New Roman" w:cs="Times New Roman"/>
          <w:b/>
          <w:bCs/>
          <w:sz w:val="28"/>
          <w:szCs w:val="28"/>
          <w:lang w:val="x-none"/>
        </w:rPr>
        <w:t xml:space="preserve">to dispel juror misconceptions regarding the ordinary responses of </w:t>
      </w:r>
      <w:r w:rsidR="000B5DD6" w:rsidRPr="00FC69E7">
        <w:rPr>
          <w:rFonts w:eastAsia="Times New Roman" w:cs="Times New Roman"/>
          <w:b/>
          <w:bCs/>
          <w:sz w:val="28"/>
          <w:szCs w:val="28"/>
        </w:rPr>
        <w:t>a victim</w:t>
      </w:r>
      <w:r w:rsidR="00706D1B" w:rsidRPr="00FC69E7">
        <w:rPr>
          <w:rFonts w:eastAsia="Times New Roman" w:cs="Times New Roman"/>
          <w:b/>
          <w:bCs/>
          <w:sz w:val="28"/>
          <w:szCs w:val="28"/>
        </w:rPr>
        <w:t xml:space="preserve">; </w:t>
      </w:r>
      <w:r w:rsidR="00786EDD" w:rsidRPr="00FC69E7">
        <w:rPr>
          <w:rFonts w:cs="Times New Roman"/>
          <w:b/>
          <w:bCs/>
          <w:sz w:val="28"/>
          <w:szCs w:val="28"/>
        </w:rPr>
        <w:t xml:space="preserve">to explain </w:t>
      </w:r>
      <w:r w:rsidR="004645AE" w:rsidRPr="00FC69E7">
        <w:rPr>
          <w:rFonts w:cs="Times New Roman"/>
          <w:b/>
          <w:bCs/>
          <w:sz w:val="28"/>
          <w:szCs w:val="28"/>
        </w:rPr>
        <w:t>a child’s delay in reporting sexual abuse</w:t>
      </w:r>
      <w:r w:rsidR="00706D1B" w:rsidRPr="00FC69E7">
        <w:rPr>
          <w:rFonts w:cs="Times New Roman"/>
          <w:b/>
          <w:bCs/>
          <w:sz w:val="28"/>
          <w:szCs w:val="28"/>
        </w:rPr>
        <w:t xml:space="preserve"> or </w:t>
      </w:r>
      <w:r w:rsidR="00E036E3" w:rsidRPr="00FC69E7">
        <w:rPr>
          <w:rFonts w:cs="Times New Roman"/>
          <w:b/>
          <w:bCs/>
          <w:sz w:val="28"/>
          <w:szCs w:val="28"/>
        </w:rPr>
        <w:t>a child</w:t>
      </w:r>
      <w:r w:rsidR="00EB2AFA" w:rsidRPr="00FC69E7">
        <w:rPr>
          <w:rFonts w:cs="Times New Roman"/>
          <w:b/>
          <w:bCs/>
          <w:sz w:val="28"/>
          <w:szCs w:val="28"/>
        </w:rPr>
        <w:t>’</w:t>
      </w:r>
      <w:r w:rsidR="00E036E3" w:rsidRPr="00FC69E7">
        <w:rPr>
          <w:rFonts w:cs="Times New Roman"/>
          <w:b/>
          <w:bCs/>
          <w:sz w:val="28"/>
          <w:szCs w:val="28"/>
        </w:rPr>
        <w:t xml:space="preserve">s </w:t>
      </w:r>
      <w:r w:rsidR="00786EDD" w:rsidRPr="00FC69E7">
        <w:rPr>
          <w:rFonts w:cs="Times New Roman"/>
          <w:b/>
          <w:bCs/>
          <w:sz w:val="28"/>
          <w:szCs w:val="28"/>
        </w:rPr>
        <w:t>recantation</w:t>
      </w:r>
      <w:r w:rsidR="00E036E3" w:rsidRPr="00FC69E7">
        <w:rPr>
          <w:rFonts w:cs="Times New Roman"/>
          <w:b/>
          <w:bCs/>
          <w:sz w:val="28"/>
          <w:szCs w:val="28"/>
        </w:rPr>
        <w:t>;</w:t>
      </w:r>
      <w:r w:rsidR="00DF55EE" w:rsidRPr="00FC69E7">
        <w:rPr>
          <w:rFonts w:cs="Times New Roman"/>
          <w:b/>
          <w:bCs/>
          <w:sz w:val="28"/>
          <w:szCs w:val="28"/>
        </w:rPr>
        <w:t xml:space="preserve"> </w:t>
      </w:r>
      <w:r w:rsidR="00C846FB" w:rsidRPr="00FC69E7">
        <w:rPr>
          <w:rFonts w:cs="Times New Roman"/>
          <w:b/>
          <w:bCs/>
          <w:sz w:val="28"/>
          <w:szCs w:val="28"/>
        </w:rPr>
        <w:t xml:space="preserve">to explain </w:t>
      </w:r>
      <w:r w:rsidR="00B54D3F" w:rsidRPr="00FC69E7">
        <w:rPr>
          <w:rFonts w:cs="Times New Roman"/>
          <w:b/>
          <w:bCs/>
          <w:sz w:val="28"/>
          <w:szCs w:val="28"/>
        </w:rPr>
        <w:t xml:space="preserve">why a child’s behavior was not inconsistent </w:t>
      </w:r>
      <w:r w:rsidR="005A0447" w:rsidRPr="00FC69E7">
        <w:rPr>
          <w:rFonts w:cs="Times New Roman"/>
          <w:b/>
          <w:bCs/>
          <w:sz w:val="28"/>
          <w:szCs w:val="28"/>
        </w:rPr>
        <w:t>with having been molested</w:t>
      </w:r>
      <w:r w:rsidR="00E036E3" w:rsidRPr="00FC69E7">
        <w:rPr>
          <w:rFonts w:cs="Times New Roman"/>
          <w:b/>
          <w:bCs/>
          <w:sz w:val="28"/>
          <w:szCs w:val="28"/>
        </w:rPr>
        <w:t>;</w:t>
      </w:r>
      <w:r w:rsidR="005A0447" w:rsidRPr="00FC69E7">
        <w:rPr>
          <w:rFonts w:cs="Times New Roman"/>
          <w:b/>
          <w:bCs/>
          <w:sz w:val="28"/>
          <w:szCs w:val="28"/>
        </w:rPr>
        <w:t xml:space="preserve"> </w:t>
      </w:r>
      <w:r w:rsidR="00786EDD" w:rsidRPr="00FC69E7">
        <w:rPr>
          <w:rFonts w:cs="Times New Roman"/>
          <w:b/>
          <w:bCs/>
          <w:sz w:val="28"/>
          <w:szCs w:val="28"/>
        </w:rPr>
        <w:t>why some children want to live with the person who abused them</w:t>
      </w:r>
      <w:r w:rsidR="00E036E3" w:rsidRPr="00FC69E7">
        <w:rPr>
          <w:rFonts w:cs="Times New Roman"/>
          <w:b/>
          <w:bCs/>
          <w:sz w:val="28"/>
          <w:szCs w:val="28"/>
        </w:rPr>
        <w:t>;</w:t>
      </w:r>
      <w:r w:rsidR="00786EDD" w:rsidRPr="00FC69E7">
        <w:rPr>
          <w:rFonts w:cs="Times New Roman"/>
          <w:b/>
          <w:bCs/>
          <w:sz w:val="28"/>
          <w:szCs w:val="28"/>
        </w:rPr>
        <w:t xml:space="preserve"> why a </w:t>
      </w:r>
      <w:r w:rsidR="007455E8" w:rsidRPr="00FC69E7">
        <w:rPr>
          <w:rFonts w:cs="Times New Roman"/>
          <w:b/>
          <w:bCs/>
          <w:sz w:val="28"/>
          <w:szCs w:val="28"/>
        </w:rPr>
        <w:t>child</w:t>
      </w:r>
      <w:r w:rsidR="00786EDD" w:rsidRPr="00FC69E7">
        <w:rPr>
          <w:rFonts w:cs="Times New Roman"/>
          <w:b/>
          <w:bCs/>
          <w:sz w:val="28"/>
          <w:szCs w:val="28"/>
        </w:rPr>
        <w:t xml:space="preserve"> might appear </w:t>
      </w:r>
      <w:r w:rsidR="00C9378D" w:rsidRPr="00FC69E7">
        <w:rPr>
          <w:rFonts w:cs="Times New Roman"/>
          <w:b/>
          <w:bCs/>
          <w:sz w:val="28"/>
          <w:szCs w:val="28"/>
        </w:rPr>
        <w:t>“</w:t>
      </w:r>
      <w:r w:rsidR="00786EDD" w:rsidRPr="00FC69E7">
        <w:rPr>
          <w:rFonts w:cs="Times New Roman"/>
          <w:b/>
          <w:bCs/>
          <w:sz w:val="28"/>
          <w:szCs w:val="28"/>
        </w:rPr>
        <w:t>emotionally flat</w:t>
      </w:r>
      <w:r w:rsidR="00C9378D" w:rsidRPr="00FC69E7">
        <w:rPr>
          <w:rFonts w:cs="Times New Roman"/>
          <w:b/>
          <w:bCs/>
          <w:sz w:val="28"/>
          <w:szCs w:val="28"/>
        </w:rPr>
        <w:t>”</w:t>
      </w:r>
      <w:r w:rsidR="00786EDD" w:rsidRPr="00FC69E7">
        <w:rPr>
          <w:rFonts w:cs="Times New Roman"/>
          <w:b/>
          <w:bCs/>
          <w:sz w:val="28"/>
          <w:szCs w:val="28"/>
        </w:rPr>
        <w:t xml:space="preserve"> following sexual assault</w:t>
      </w:r>
      <w:r w:rsidR="00E036E3" w:rsidRPr="00FC69E7">
        <w:rPr>
          <w:rFonts w:cs="Times New Roman"/>
          <w:b/>
          <w:bCs/>
          <w:sz w:val="28"/>
          <w:szCs w:val="28"/>
        </w:rPr>
        <w:t>;</w:t>
      </w:r>
      <w:r w:rsidR="00786EDD" w:rsidRPr="00FC69E7">
        <w:rPr>
          <w:rFonts w:cs="Times New Roman"/>
          <w:b/>
          <w:bCs/>
          <w:sz w:val="28"/>
          <w:szCs w:val="28"/>
        </w:rPr>
        <w:t xml:space="preserve"> </w:t>
      </w:r>
      <w:r w:rsidR="007F6E9C" w:rsidRPr="00FC69E7">
        <w:rPr>
          <w:rFonts w:cs="Times New Roman"/>
          <w:b/>
          <w:bCs/>
          <w:sz w:val="28"/>
          <w:szCs w:val="28"/>
        </w:rPr>
        <w:t>a</w:t>
      </w:r>
      <w:r w:rsidR="007D2F63" w:rsidRPr="00FC69E7">
        <w:rPr>
          <w:rFonts w:cs="Times New Roman"/>
          <w:b/>
          <w:bCs/>
          <w:sz w:val="28"/>
          <w:szCs w:val="28"/>
        </w:rPr>
        <w:t xml:space="preserve">nd </w:t>
      </w:r>
      <w:r w:rsidR="00786EDD" w:rsidRPr="00FC69E7">
        <w:rPr>
          <w:rFonts w:cs="Times New Roman"/>
          <w:b/>
          <w:bCs/>
          <w:sz w:val="28"/>
          <w:szCs w:val="28"/>
        </w:rPr>
        <w:t>why a child might run away from home</w:t>
      </w:r>
      <w:r w:rsidR="00A169CD" w:rsidRPr="00FC69E7">
        <w:rPr>
          <w:rFonts w:cs="Times New Roman"/>
          <w:b/>
          <w:bCs/>
          <w:sz w:val="28"/>
          <w:szCs w:val="28"/>
        </w:rPr>
        <w:t>.</w:t>
      </w:r>
    </w:p>
    <w:p w14:paraId="03ABDB5E" w14:textId="730B5F5E" w:rsidR="000B5DD6" w:rsidRPr="00FC69E7" w:rsidRDefault="000B5DD6" w:rsidP="004F25D6">
      <w:pPr>
        <w:ind w:left="0"/>
        <w:jc w:val="both"/>
        <w:rPr>
          <w:rFonts w:cs="Times New Roman"/>
          <w:sz w:val="28"/>
          <w:szCs w:val="28"/>
        </w:rPr>
      </w:pPr>
    </w:p>
    <w:p w14:paraId="2015FDC3" w14:textId="39F2E02E" w:rsidR="005419E7" w:rsidRPr="00FC69E7" w:rsidRDefault="000B5DD6" w:rsidP="004F25D6">
      <w:pPr>
        <w:ind w:left="720" w:right="720"/>
        <w:jc w:val="both"/>
        <w:rPr>
          <w:rFonts w:cs="Times New Roman"/>
          <w:sz w:val="28"/>
          <w:szCs w:val="28"/>
        </w:rPr>
      </w:pPr>
      <w:r w:rsidRPr="00FC69E7">
        <w:rPr>
          <w:rFonts w:eastAsia="Times New Roman" w:cs="Times New Roman"/>
          <w:b/>
          <w:bCs/>
          <w:sz w:val="28"/>
          <w:szCs w:val="28"/>
        </w:rPr>
        <w:t xml:space="preserve">(3) </w:t>
      </w:r>
      <w:r w:rsidR="009D4896" w:rsidRPr="00FC69E7">
        <w:rPr>
          <w:rFonts w:cs="Times New Roman"/>
          <w:b/>
          <w:bCs/>
          <w:sz w:val="28"/>
          <w:szCs w:val="28"/>
        </w:rPr>
        <w:t>An</w:t>
      </w:r>
      <w:r w:rsidR="00232C32" w:rsidRPr="00FC69E7">
        <w:rPr>
          <w:rFonts w:cs="Times New Roman"/>
          <w:b/>
          <w:bCs/>
          <w:sz w:val="28"/>
          <w:szCs w:val="28"/>
        </w:rPr>
        <w:t xml:space="preserve"> expert may not testify that the child should be believed, or that the conduct at issue in the case constituted abuse; the expert may describe the relevant </w:t>
      </w:r>
      <w:r w:rsidR="00232C32" w:rsidRPr="00FC69E7">
        <w:rPr>
          <w:rFonts w:cs="Times New Roman"/>
          <w:b/>
          <w:bCs/>
          <w:sz w:val="28"/>
          <w:szCs w:val="28"/>
        </w:rPr>
        <w:lastRenderedPageBreak/>
        <w:t>general behavior patterns of an abused child that might be beyond the ken of the average juror.</w:t>
      </w:r>
    </w:p>
    <w:p w14:paraId="2C40108F" w14:textId="77777777" w:rsidR="0032397C" w:rsidRPr="00FC69E7" w:rsidRDefault="0032397C" w:rsidP="004F25D6">
      <w:pPr>
        <w:ind w:left="0" w:right="720"/>
        <w:rPr>
          <w:rFonts w:eastAsia="Times New Roman" w:cs="Times New Roman"/>
          <w:b/>
          <w:bCs/>
          <w:sz w:val="28"/>
          <w:szCs w:val="28"/>
        </w:rPr>
      </w:pPr>
    </w:p>
    <w:p w14:paraId="3CCE4BA6" w14:textId="70B30D66" w:rsidR="001F02E1" w:rsidRPr="00FC69E7" w:rsidRDefault="00704DE5" w:rsidP="004F25D6">
      <w:pPr>
        <w:ind w:left="0" w:right="720"/>
        <w:jc w:val="center"/>
        <w:rPr>
          <w:rFonts w:eastAsia="Times New Roman" w:cs="Times New Roman"/>
          <w:b/>
          <w:bCs/>
          <w:szCs w:val="24"/>
        </w:rPr>
      </w:pPr>
      <w:r w:rsidRPr="00FC69E7">
        <w:rPr>
          <w:rFonts w:eastAsia="Times New Roman" w:cs="Times New Roman"/>
          <w:b/>
          <w:bCs/>
          <w:szCs w:val="24"/>
        </w:rPr>
        <w:t>Note</w:t>
      </w:r>
    </w:p>
    <w:p w14:paraId="6C7A5991" w14:textId="77777777" w:rsidR="00C25D60" w:rsidRPr="00FC69E7" w:rsidRDefault="00C25D60" w:rsidP="004F25D6">
      <w:pPr>
        <w:ind w:left="0" w:right="720"/>
        <w:rPr>
          <w:rFonts w:eastAsia="Times New Roman" w:cs="Times New Roman"/>
          <w:b/>
          <w:bCs/>
          <w:szCs w:val="24"/>
        </w:rPr>
      </w:pPr>
    </w:p>
    <w:p w14:paraId="69A4022E" w14:textId="3D67572B" w:rsidR="00E4448C" w:rsidRPr="00FC69E7" w:rsidRDefault="00123AE1" w:rsidP="004F25D6">
      <w:pPr>
        <w:tabs>
          <w:tab w:val="left" w:pos="720"/>
        </w:tabs>
        <w:ind w:left="0" w:right="0"/>
        <w:jc w:val="both"/>
        <w:rPr>
          <w:rFonts w:eastAsia="Times New Roman" w:cs="Times New Roman"/>
          <w:szCs w:val="24"/>
        </w:rPr>
      </w:pPr>
      <w:r w:rsidRPr="00FC69E7">
        <w:rPr>
          <w:rFonts w:eastAsia="Times New Roman" w:cs="Times New Roman"/>
          <w:szCs w:val="24"/>
        </w:rPr>
        <w:tab/>
      </w:r>
      <w:r w:rsidR="00D90430" w:rsidRPr="00FC69E7">
        <w:rPr>
          <w:rFonts w:eastAsia="Times New Roman" w:cs="Times New Roman"/>
          <w:b/>
          <w:bCs/>
          <w:szCs w:val="24"/>
        </w:rPr>
        <w:t>Subdivision (1)</w:t>
      </w:r>
      <w:r w:rsidR="002A6B86" w:rsidRPr="00FC69E7">
        <w:rPr>
          <w:rFonts w:eastAsia="Times New Roman" w:cs="Times New Roman"/>
          <w:b/>
          <w:bCs/>
          <w:szCs w:val="24"/>
        </w:rPr>
        <w:t>,</w:t>
      </w:r>
      <w:r w:rsidR="00D90430" w:rsidRPr="00FC69E7">
        <w:rPr>
          <w:rFonts w:eastAsia="Times New Roman" w:cs="Times New Roman"/>
          <w:szCs w:val="24"/>
        </w:rPr>
        <w:t xml:space="preserve"> as well as the remainder of this rule, </w:t>
      </w:r>
      <w:r w:rsidRPr="00FC69E7">
        <w:rPr>
          <w:rFonts w:eastAsia="Times New Roman" w:cs="Times New Roman"/>
          <w:szCs w:val="24"/>
        </w:rPr>
        <w:t xml:space="preserve">is derived from the seminal Court of Appeals decision in </w:t>
      </w:r>
      <w:r w:rsidRPr="00FC69E7">
        <w:rPr>
          <w:rFonts w:eastAsia="Times New Roman" w:cs="Times New Roman"/>
          <w:i/>
          <w:iCs/>
          <w:szCs w:val="24"/>
        </w:rPr>
        <w:t>People v Taylor</w:t>
      </w:r>
      <w:r w:rsidRPr="00FC69E7">
        <w:rPr>
          <w:rFonts w:eastAsia="Times New Roman" w:cs="Times New Roman"/>
          <w:szCs w:val="24"/>
        </w:rPr>
        <w:t xml:space="preserve"> (75 NY2d 277 [1990])</w:t>
      </w:r>
      <w:r w:rsidR="00945763" w:rsidRPr="00FC69E7">
        <w:rPr>
          <w:rFonts w:eastAsia="Times New Roman" w:cs="Times New Roman"/>
          <w:szCs w:val="24"/>
        </w:rPr>
        <w:t xml:space="preserve"> that allow</w:t>
      </w:r>
      <w:r w:rsidR="00EC3893" w:rsidRPr="00FC69E7">
        <w:rPr>
          <w:rFonts w:eastAsia="Times New Roman" w:cs="Times New Roman"/>
          <w:szCs w:val="24"/>
        </w:rPr>
        <w:t>ed</w:t>
      </w:r>
      <w:r w:rsidR="00945763" w:rsidRPr="00FC69E7">
        <w:rPr>
          <w:rFonts w:eastAsia="Times New Roman" w:cs="Times New Roman"/>
          <w:szCs w:val="24"/>
        </w:rPr>
        <w:t xml:space="preserve"> for expert testimony on </w:t>
      </w:r>
      <w:r w:rsidR="00C66772" w:rsidRPr="00FC69E7">
        <w:rPr>
          <w:rFonts w:eastAsia="Times New Roman" w:cs="Times New Roman"/>
          <w:szCs w:val="24"/>
        </w:rPr>
        <w:t xml:space="preserve">the analogous </w:t>
      </w:r>
      <w:r w:rsidR="00C25D60" w:rsidRPr="00FC69E7">
        <w:rPr>
          <w:rFonts w:eastAsia="Times New Roman" w:cs="Times New Roman"/>
          <w:szCs w:val="24"/>
        </w:rPr>
        <w:t>Rape Trauma Syndrome</w:t>
      </w:r>
      <w:r w:rsidR="00E64ED3" w:rsidRPr="00FC69E7">
        <w:rPr>
          <w:rFonts w:eastAsia="Times New Roman" w:cs="Times New Roman"/>
          <w:szCs w:val="24"/>
        </w:rPr>
        <w:t>, as well as</w:t>
      </w:r>
      <w:r w:rsidR="001928FD" w:rsidRPr="00FC69E7">
        <w:rPr>
          <w:rFonts w:cs="Times New Roman"/>
          <w:i/>
          <w:iCs/>
          <w:szCs w:val="24"/>
        </w:rPr>
        <w:t xml:space="preserve"> </w:t>
      </w:r>
      <w:r w:rsidR="00C96D80" w:rsidRPr="00FC69E7">
        <w:rPr>
          <w:rFonts w:cs="Times New Roman"/>
          <w:szCs w:val="24"/>
        </w:rPr>
        <w:t xml:space="preserve">the Court of Appeals cases that specifically address the </w:t>
      </w:r>
      <w:r w:rsidR="00C96D80" w:rsidRPr="00FC69E7">
        <w:rPr>
          <w:rFonts w:eastAsia="Times New Roman" w:cs="Times New Roman"/>
          <w:szCs w:val="24"/>
        </w:rPr>
        <w:t xml:space="preserve">Child Sexual Abuse </w:t>
      </w:r>
      <w:r w:rsidR="003319D6" w:rsidRPr="00FC69E7">
        <w:rPr>
          <w:rFonts w:eastAsia="Times New Roman" w:cs="Times New Roman"/>
          <w:szCs w:val="24"/>
        </w:rPr>
        <w:t>Syndrome</w:t>
      </w:r>
      <w:r w:rsidR="00C96D80" w:rsidRPr="00FC69E7">
        <w:rPr>
          <w:rFonts w:eastAsia="Times New Roman" w:cs="Times New Roman"/>
          <w:szCs w:val="24"/>
        </w:rPr>
        <w:t xml:space="preserve"> </w:t>
      </w:r>
      <w:r w:rsidR="009E5D56" w:rsidRPr="00FC69E7">
        <w:rPr>
          <w:rFonts w:eastAsia="Times New Roman" w:cs="Times New Roman"/>
          <w:szCs w:val="24"/>
        </w:rPr>
        <w:t>(</w:t>
      </w:r>
      <w:r w:rsidR="003319D6" w:rsidRPr="00FC69E7">
        <w:rPr>
          <w:rFonts w:eastAsia="Times New Roman" w:cs="Times New Roman"/>
          <w:szCs w:val="24"/>
        </w:rPr>
        <w:t>CSAS</w:t>
      </w:r>
      <w:r w:rsidR="009E5D56" w:rsidRPr="00FC69E7">
        <w:rPr>
          <w:rFonts w:eastAsia="Times New Roman" w:cs="Times New Roman"/>
          <w:szCs w:val="24"/>
        </w:rPr>
        <w:t>)</w:t>
      </w:r>
      <w:r w:rsidR="00C96D80" w:rsidRPr="00FC69E7">
        <w:rPr>
          <w:rFonts w:eastAsia="Times New Roman" w:cs="Times New Roman"/>
          <w:szCs w:val="24"/>
        </w:rPr>
        <w:t xml:space="preserve">, also known as the Child Sexual Abuse </w:t>
      </w:r>
      <w:r w:rsidR="003319D6" w:rsidRPr="00FC69E7">
        <w:rPr>
          <w:rFonts w:eastAsia="Times New Roman" w:cs="Times New Roman"/>
          <w:szCs w:val="24"/>
        </w:rPr>
        <w:t xml:space="preserve">Accommodation </w:t>
      </w:r>
      <w:r w:rsidR="00C96D80" w:rsidRPr="00FC69E7">
        <w:rPr>
          <w:rFonts w:eastAsia="Times New Roman" w:cs="Times New Roman"/>
          <w:szCs w:val="24"/>
        </w:rPr>
        <w:t>Syndrome</w:t>
      </w:r>
      <w:r w:rsidR="001B4932" w:rsidRPr="00FC69E7">
        <w:rPr>
          <w:rFonts w:eastAsia="Times New Roman" w:cs="Times New Roman"/>
          <w:szCs w:val="24"/>
        </w:rPr>
        <w:t xml:space="preserve"> </w:t>
      </w:r>
      <w:r w:rsidR="009E5D56" w:rsidRPr="00FC69E7">
        <w:rPr>
          <w:rFonts w:eastAsia="Times New Roman" w:cs="Times New Roman"/>
          <w:szCs w:val="24"/>
        </w:rPr>
        <w:t>(</w:t>
      </w:r>
      <w:r w:rsidR="00757FA4" w:rsidRPr="00FC69E7">
        <w:rPr>
          <w:rFonts w:eastAsia="Times New Roman" w:cs="Times New Roman"/>
          <w:szCs w:val="24"/>
        </w:rPr>
        <w:t>CSAAS</w:t>
      </w:r>
      <w:r w:rsidR="009E5D56" w:rsidRPr="00FC69E7">
        <w:rPr>
          <w:rFonts w:eastAsia="Times New Roman" w:cs="Times New Roman"/>
          <w:szCs w:val="24"/>
        </w:rPr>
        <w:t>)</w:t>
      </w:r>
      <w:r w:rsidR="004F25D6" w:rsidRPr="00FC69E7">
        <w:rPr>
          <w:rFonts w:eastAsia="Times New Roman" w:cs="Times New Roman"/>
          <w:szCs w:val="24"/>
        </w:rPr>
        <w:t xml:space="preserve">.  </w:t>
      </w:r>
      <w:r w:rsidR="00F10D1E" w:rsidRPr="00FC69E7">
        <w:rPr>
          <w:rFonts w:eastAsia="Times New Roman" w:cs="Times New Roman"/>
          <w:szCs w:val="24"/>
        </w:rPr>
        <w:t>(</w:t>
      </w:r>
      <w:r w:rsidR="001928FD" w:rsidRPr="00FC69E7">
        <w:rPr>
          <w:rFonts w:cs="Times New Roman"/>
          <w:i/>
          <w:iCs/>
          <w:szCs w:val="24"/>
        </w:rPr>
        <w:t>People v Carroll</w:t>
      </w:r>
      <w:r w:rsidR="001928FD" w:rsidRPr="00FC69E7">
        <w:rPr>
          <w:rFonts w:cs="Times New Roman"/>
          <w:szCs w:val="24"/>
        </w:rPr>
        <w:t>, 95 NY2d 375</w:t>
      </w:r>
      <w:r w:rsidR="00CA5509" w:rsidRPr="00FC69E7">
        <w:rPr>
          <w:rFonts w:cs="Times New Roman"/>
          <w:szCs w:val="24"/>
        </w:rPr>
        <w:t>, 387</w:t>
      </w:r>
      <w:r w:rsidR="001928FD" w:rsidRPr="00FC69E7">
        <w:rPr>
          <w:rFonts w:cs="Times New Roman"/>
          <w:szCs w:val="24"/>
        </w:rPr>
        <w:t xml:space="preserve"> [2000]</w:t>
      </w:r>
      <w:r w:rsidR="005E450F" w:rsidRPr="00FC69E7">
        <w:rPr>
          <w:rFonts w:cs="Times New Roman"/>
          <w:szCs w:val="24"/>
        </w:rPr>
        <w:t>;</w:t>
      </w:r>
      <w:r w:rsidR="00B70EC5" w:rsidRPr="00FC69E7">
        <w:rPr>
          <w:rFonts w:cs="Times New Roman"/>
          <w:szCs w:val="24"/>
        </w:rPr>
        <w:t xml:space="preserve"> </w:t>
      </w:r>
      <w:r w:rsidR="00B70EC5" w:rsidRPr="00FC69E7">
        <w:rPr>
          <w:rFonts w:cs="Times New Roman"/>
          <w:i/>
          <w:iCs/>
          <w:szCs w:val="24"/>
        </w:rPr>
        <w:t>People v Spicola</w:t>
      </w:r>
      <w:r w:rsidR="00B70EC5" w:rsidRPr="00FC69E7">
        <w:rPr>
          <w:rFonts w:cs="Times New Roman"/>
          <w:szCs w:val="24"/>
        </w:rPr>
        <w:t>, 16 NY3d 441, 46</w:t>
      </w:r>
      <w:r w:rsidR="005F61D8" w:rsidRPr="00FC69E7">
        <w:rPr>
          <w:rFonts w:cs="Times New Roman"/>
          <w:szCs w:val="24"/>
        </w:rPr>
        <w:t>0-</w:t>
      </w:r>
      <w:r w:rsidR="009E5D56" w:rsidRPr="00FC69E7">
        <w:rPr>
          <w:rFonts w:cs="Times New Roman"/>
          <w:szCs w:val="24"/>
        </w:rPr>
        <w:t>4</w:t>
      </w:r>
      <w:r w:rsidR="009C0B03" w:rsidRPr="00FC69E7">
        <w:rPr>
          <w:rFonts w:cs="Times New Roman"/>
          <w:szCs w:val="24"/>
        </w:rPr>
        <w:t>66</w:t>
      </w:r>
      <w:r w:rsidR="00B70EC5" w:rsidRPr="00FC69E7">
        <w:rPr>
          <w:rFonts w:cs="Times New Roman"/>
          <w:szCs w:val="24"/>
        </w:rPr>
        <w:t xml:space="preserve"> [2011]</w:t>
      </w:r>
      <w:r w:rsidR="005E450F" w:rsidRPr="00FC69E7">
        <w:rPr>
          <w:rFonts w:cs="Times New Roman"/>
          <w:szCs w:val="24"/>
        </w:rPr>
        <w:t xml:space="preserve">; </w:t>
      </w:r>
      <w:r w:rsidR="00E4448C" w:rsidRPr="00FC69E7">
        <w:rPr>
          <w:rFonts w:eastAsia="Times New Roman" w:cs="Times New Roman"/>
          <w:i/>
          <w:iCs/>
          <w:szCs w:val="24"/>
        </w:rPr>
        <w:t>People v Williams</w:t>
      </w:r>
      <w:r w:rsidR="00E4448C" w:rsidRPr="00FC69E7">
        <w:rPr>
          <w:rFonts w:eastAsia="Times New Roman" w:cs="Times New Roman"/>
          <w:szCs w:val="24"/>
        </w:rPr>
        <w:t>, 20 NY3d 579, 584 [2013]</w:t>
      </w:r>
      <w:r w:rsidR="005E450F" w:rsidRPr="00FC69E7">
        <w:rPr>
          <w:rFonts w:eastAsia="Times New Roman" w:cs="Times New Roman"/>
          <w:szCs w:val="24"/>
        </w:rPr>
        <w:t xml:space="preserve">; </w:t>
      </w:r>
      <w:r w:rsidR="00E4448C" w:rsidRPr="00FC69E7">
        <w:rPr>
          <w:rFonts w:eastAsia="Times New Roman" w:cs="Times New Roman"/>
          <w:i/>
          <w:iCs/>
          <w:szCs w:val="24"/>
        </w:rPr>
        <w:t>People v Nicholson</w:t>
      </w:r>
      <w:r w:rsidR="00E4448C" w:rsidRPr="00FC69E7">
        <w:rPr>
          <w:rFonts w:eastAsia="Times New Roman" w:cs="Times New Roman"/>
          <w:szCs w:val="24"/>
        </w:rPr>
        <w:t>, 26 NY3d 813, 827-</w:t>
      </w:r>
      <w:r w:rsidR="009E5D56" w:rsidRPr="00FC69E7">
        <w:rPr>
          <w:rFonts w:eastAsia="Times New Roman" w:cs="Times New Roman"/>
          <w:szCs w:val="24"/>
        </w:rPr>
        <w:t>8</w:t>
      </w:r>
      <w:r w:rsidR="00E4448C" w:rsidRPr="00FC69E7">
        <w:rPr>
          <w:rFonts w:eastAsia="Times New Roman" w:cs="Times New Roman"/>
          <w:szCs w:val="24"/>
        </w:rPr>
        <w:t>29 [2016]</w:t>
      </w:r>
      <w:r w:rsidR="009E5D56" w:rsidRPr="00FC69E7">
        <w:rPr>
          <w:rFonts w:eastAsia="Times New Roman" w:cs="Times New Roman"/>
          <w:szCs w:val="24"/>
        </w:rPr>
        <w:t>.</w:t>
      </w:r>
      <w:r w:rsidR="00F10D1E" w:rsidRPr="00FC69E7">
        <w:rPr>
          <w:rFonts w:eastAsia="Times New Roman" w:cs="Times New Roman"/>
          <w:szCs w:val="24"/>
        </w:rPr>
        <w:t>)</w:t>
      </w:r>
    </w:p>
    <w:p w14:paraId="7968F1A7" w14:textId="7B7D6B88" w:rsidR="00930C80" w:rsidRPr="00FC69E7" w:rsidRDefault="00930C80" w:rsidP="004F25D6">
      <w:pPr>
        <w:tabs>
          <w:tab w:val="left" w:pos="720"/>
        </w:tabs>
        <w:ind w:left="0" w:right="0"/>
        <w:jc w:val="both"/>
        <w:rPr>
          <w:rFonts w:eastAsia="Times New Roman" w:cs="Times New Roman"/>
          <w:szCs w:val="24"/>
        </w:rPr>
      </w:pPr>
    </w:p>
    <w:p w14:paraId="507BCFF4" w14:textId="06EAE361" w:rsidR="00A24D23" w:rsidRPr="00FC69E7" w:rsidRDefault="00A2796C" w:rsidP="004F25D6">
      <w:pPr>
        <w:tabs>
          <w:tab w:val="left" w:pos="720"/>
        </w:tabs>
        <w:ind w:left="0" w:right="0"/>
        <w:jc w:val="both"/>
        <w:rPr>
          <w:rFonts w:eastAsia="Times New Roman" w:cs="Times New Roman"/>
          <w:szCs w:val="24"/>
        </w:rPr>
      </w:pPr>
      <w:r w:rsidRPr="00FC69E7">
        <w:rPr>
          <w:rFonts w:eastAsia="Times New Roman" w:cs="Times New Roman"/>
          <w:szCs w:val="24"/>
        </w:rPr>
        <w:tab/>
        <w:t xml:space="preserve">Although the admission of CSAS evidence has </w:t>
      </w:r>
      <w:r w:rsidR="008F78FB" w:rsidRPr="00FC69E7">
        <w:rPr>
          <w:rFonts w:eastAsia="Times New Roman" w:cs="Times New Roman"/>
          <w:szCs w:val="24"/>
        </w:rPr>
        <w:t xml:space="preserve">recently </w:t>
      </w:r>
      <w:r w:rsidRPr="00FC69E7">
        <w:rPr>
          <w:rFonts w:eastAsia="Times New Roman" w:cs="Times New Roman"/>
          <w:szCs w:val="24"/>
        </w:rPr>
        <w:t xml:space="preserve">been challenged, it continues to be admissible under </w:t>
      </w:r>
      <w:r w:rsidR="001B4932" w:rsidRPr="00FC69E7">
        <w:rPr>
          <w:rFonts w:eastAsia="Times New Roman" w:cs="Times New Roman"/>
          <w:szCs w:val="24"/>
        </w:rPr>
        <w:t xml:space="preserve">New York </w:t>
      </w:r>
      <w:r w:rsidRPr="00FC69E7">
        <w:rPr>
          <w:rFonts w:eastAsia="Times New Roman" w:cs="Times New Roman"/>
          <w:szCs w:val="24"/>
        </w:rPr>
        <w:t>law</w:t>
      </w:r>
      <w:r w:rsidR="004F25D6" w:rsidRPr="00FC69E7">
        <w:rPr>
          <w:rFonts w:eastAsia="Times New Roman" w:cs="Times New Roman"/>
          <w:szCs w:val="24"/>
        </w:rPr>
        <w:t xml:space="preserve">.  </w:t>
      </w:r>
      <w:r w:rsidR="004015A0" w:rsidRPr="00FC69E7">
        <w:rPr>
          <w:rFonts w:eastAsia="Times New Roman" w:cs="Times New Roman"/>
          <w:szCs w:val="24"/>
        </w:rPr>
        <w:t>(</w:t>
      </w:r>
      <w:r w:rsidR="00A24D23" w:rsidRPr="00FC69E7">
        <w:rPr>
          <w:rFonts w:eastAsia="Times New Roman" w:cs="Times New Roman"/>
          <w:i/>
          <w:iCs/>
          <w:szCs w:val="24"/>
        </w:rPr>
        <w:t>People v Austen</w:t>
      </w:r>
      <w:r w:rsidR="00A24D23" w:rsidRPr="00FC69E7">
        <w:rPr>
          <w:rFonts w:eastAsia="Times New Roman" w:cs="Times New Roman"/>
          <w:szCs w:val="24"/>
        </w:rPr>
        <w:t>, 197 AD3d 861, 862</w:t>
      </w:r>
      <w:r w:rsidR="00CC2C69" w:rsidRPr="00FC69E7">
        <w:rPr>
          <w:rFonts w:eastAsia="Times New Roman" w:cs="Times New Roman"/>
          <w:szCs w:val="24"/>
        </w:rPr>
        <w:t xml:space="preserve"> </w:t>
      </w:r>
      <w:r w:rsidR="00A24D23" w:rsidRPr="00FC69E7">
        <w:rPr>
          <w:rFonts w:eastAsia="Times New Roman" w:cs="Times New Roman"/>
          <w:szCs w:val="24"/>
        </w:rPr>
        <w:t>[4th Dept 2021]</w:t>
      </w:r>
      <w:r w:rsidR="0085462C" w:rsidRPr="00FC69E7">
        <w:rPr>
          <w:rFonts w:eastAsia="Times New Roman" w:cs="Times New Roman"/>
          <w:szCs w:val="24"/>
        </w:rPr>
        <w:t xml:space="preserve"> [“</w:t>
      </w:r>
      <w:r w:rsidR="00A24D23" w:rsidRPr="00FC69E7">
        <w:rPr>
          <w:rFonts w:eastAsia="Times New Roman" w:cs="Times New Roman"/>
          <w:szCs w:val="24"/>
        </w:rPr>
        <w:t>We reject defendant</w:t>
      </w:r>
      <w:r w:rsidR="00EB2AFA" w:rsidRPr="00FC69E7">
        <w:rPr>
          <w:rFonts w:eastAsia="Times New Roman" w:cs="Times New Roman"/>
          <w:szCs w:val="24"/>
        </w:rPr>
        <w:t>’</w:t>
      </w:r>
      <w:r w:rsidR="00A24D23" w:rsidRPr="00FC69E7">
        <w:rPr>
          <w:rFonts w:eastAsia="Times New Roman" w:cs="Times New Roman"/>
          <w:szCs w:val="24"/>
        </w:rPr>
        <w:t>s contention that CSAAS is no longer generally accepted in the relevant scientific community</w:t>
      </w:r>
      <w:r w:rsidR="004F25D6" w:rsidRPr="00FC69E7">
        <w:rPr>
          <w:rFonts w:eastAsia="Times New Roman" w:cs="Times New Roman"/>
          <w:szCs w:val="24"/>
        </w:rPr>
        <w:t xml:space="preserve">.  </w:t>
      </w:r>
      <w:r w:rsidR="00A24D23" w:rsidRPr="00FC69E7">
        <w:rPr>
          <w:rFonts w:eastAsia="Times New Roman" w:cs="Times New Roman"/>
          <w:szCs w:val="24"/>
        </w:rPr>
        <w:t>Although a small number of other state courts do not allow expert testimony on CSAAS (</w:t>
      </w:r>
      <w:r w:rsidR="00A24D23" w:rsidRPr="00FC69E7">
        <w:rPr>
          <w:rFonts w:eastAsia="Times New Roman" w:cs="Times New Roman"/>
          <w:i/>
          <w:iCs/>
          <w:szCs w:val="24"/>
        </w:rPr>
        <w:t>see e.g. State of New Jersey v J.L.G.</w:t>
      </w:r>
      <w:r w:rsidR="00A24D23" w:rsidRPr="00FC69E7">
        <w:rPr>
          <w:rFonts w:eastAsia="Times New Roman" w:cs="Times New Roman"/>
          <w:szCs w:val="24"/>
        </w:rPr>
        <w:t>, 234 NJ 265, 289, 303, 190 A3d 442, 456, 464 [2018]), the record here provides no basis for us to reach a similar conclusion (</w:t>
      </w:r>
      <w:r w:rsidR="00A24D23" w:rsidRPr="00FC69E7">
        <w:rPr>
          <w:rFonts w:eastAsia="Times New Roman" w:cs="Times New Roman"/>
          <w:i/>
          <w:iCs/>
          <w:szCs w:val="24"/>
        </w:rPr>
        <w:t>see Spicola</w:t>
      </w:r>
      <w:r w:rsidR="00A24D23" w:rsidRPr="00FC69E7">
        <w:rPr>
          <w:rFonts w:eastAsia="Times New Roman" w:cs="Times New Roman"/>
          <w:szCs w:val="24"/>
        </w:rPr>
        <w:t>, 16 NY3d at 466)</w:t>
      </w:r>
      <w:r w:rsidR="0085462C" w:rsidRPr="00FC69E7">
        <w:rPr>
          <w:rFonts w:eastAsia="Times New Roman" w:cs="Times New Roman"/>
          <w:szCs w:val="24"/>
        </w:rPr>
        <w:t>”].</w:t>
      </w:r>
      <w:r w:rsidR="004015A0" w:rsidRPr="00FC69E7">
        <w:rPr>
          <w:rFonts w:eastAsia="Times New Roman" w:cs="Times New Roman"/>
          <w:szCs w:val="24"/>
        </w:rPr>
        <w:t>)</w:t>
      </w:r>
    </w:p>
    <w:p w14:paraId="5B6205D2" w14:textId="77777777" w:rsidR="00A24D23" w:rsidRPr="00FC69E7" w:rsidRDefault="00A24D23" w:rsidP="004F25D6">
      <w:pPr>
        <w:ind w:left="0" w:right="0"/>
        <w:jc w:val="both"/>
        <w:rPr>
          <w:rFonts w:eastAsia="Times New Roman" w:cs="Times New Roman"/>
          <w:szCs w:val="24"/>
        </w:rPr>
      </w:pPr>
    </w:p>
    <w:p w14:paraId="66A1D8A0" w14:textId="61FE04CC" w:rsidR="00093EBD" w:rsidRPr="00FC69E7" w:rsidRDefault="00FE3C78" w:rsidP="004F25D6">
      <w:pPr>
        <w:ind w:left="0" w:right="0"/>
        <w:jc w:val="both"/>
        <w:rPr>
          <w:rFonts w:cs="Times New Roman"/>
          <w:szCs w:val="24"/>
        </w:rPr>
      </w:pPr>
      <w:r w:rsidRPr="00FC69E7">
        <w:rPr>
          <w:rFonts w:eastAsia="Times New Roman" w:cs="Times New Roman"/>
          <w:szCs w:val="24"/>
        </w:rPr>
        <w:tab/>
      </w:r>
      <w:r w:rsidR="003D06DD" w:rsidRPr="00FC69E7">
        <w:rPr>
          <w:rFonts w:eastAsia="Times New Roman" w:cs="Times New Roman"/>
          <w:b/>
          <w:bCs/>
          <w:szCs w:val="24"/>
        </w:rPr>
        <w:t>Subdivision (2)</w:t>
      </w:r>
      <w:r w:rsidR="004F25D6" w:rsidRPr="00FC69E7">
        <w:rPr>
          <w:rFonts w:eastAsia="Times New Roman" w:cs="Times New Roman"/>
          <w:b/>
          <w:bCs/>
          <w:szCs w:val="24"/>
        </w:rPr>
        <w:t>.</w:t>
      </w:r>
      <w:r w:rsidR="004F25D6" w:rsidRPr="00FC69E7">
        <w:rPr>
          <w:rFonts w:eastAsia="Times New Roman" w:cs="Times New Roman"/>
          <w:szCs w:val="24"/>
        </w:rPr>
        <w:t xml:space="preserve">  </w:t>
      </w:r>
      <w:r w:rsidR="00C2723F" w:rsidRPr="00FC69E7">
        <w:rPr>
          <w:rFonts w:eastAsia="Times New Roman" w:cs="Times New Roman"/>
          <w:szCs w:val="24"/>
        </w:rPr>
        <w:t xml:space="preserve">Expert testimony concerning </w:t>
      </w:r>
      <w:r w:rsidR="003319D6" w:rsidRPr="00FC69E7">
        <w:rPr>
          <w:rFonts w:eastAsia="Times New Roman" w:cs="Times New Roman"/>
          <w:szCs w:val="24"/>
        </w:rPr>
        <w:t>CSAS</w:t>
      </w:r>
      <w:r w:rsidR="00E07B13" w:rsidRPr="00FC69E7">
        <w:rPr>
          <w:rFonts w:eastAsia="Times New Roman" w:cs="Times New Roman"/>
          <w:szCs w:val="24"/>
        </w:rPr>
        <w:t xml:space="preserve"> </w:t>
      </w:r>
      <w:r w:rsidR="001227BC" w:rsidRPr="00FC69E7">
        <w:rPr>
          <w:rFonts w:eastAsia="Times New Roman" w:cs="Times New Roman"/>
          <w:szCs w:val="24"/>
        </w:rPr>
        <w:t>is admissible</w:t>
      </w:r>
      <w:r w:rsidR="007346D4" w:rsidRPr="00FC69E7">
        <w:rPr>
          <w:rFonts w:eastAsia="Times New Roman" w:cs="Times New Roman"/>
          <w:szCs w:val="24"/>
        </w:rPr>
        <w:t xml:space="preserve"> in</w:t>
      </w:r>
      <w:r w:rsidR="00E07B13" w:rsidRPr="00FC69E7">
        <w:rPr>
          <w:rFonts w:eastAsia="Times New Roman" w:cs="Times New Roman"/>
          <w:szCs w:val="24"/>
        </w:rPr>
        <w:t xml:space="preserve"> </w:t>
      </w:r>
      <w:r w:rsidR="00EB2AFA" w:rsidRPr="00FC69E7">
        <w:rPr>
          <w:rFonts w:eastAsia="Times New Roman" w:cs="Times New Roman"/>
          <w:szCs w:val="24"/>
        </w:rPr>
        <w:t>“</w:t>
      </w:r>
      <w:r w:rsidR="00E07B13" w:rsidRPr="00FC69E7">
        <w:rPr>
          <w:rFonts w:eastAsia="Times New Roman" w:cs="Times New Roman"/>
          <w:szCs w:val="24"/>
        </w:rPr>
        <w:t>the sound discretion of the trial court</w:t>
      </w:r>
      <w:r w:rsidR="00EB2AFA" w:rsidRPr="00FC69E7">
        <w:rPr>
          <w:rFonts w:eastAsia="Times New Roman" w:cs="Times New Roman"/>
          <w:szCs w:val="24"/>
        </w:rPr>
        <w:t>”</w:t>
      </w:r>
      <w:r w:rsidR="00E07B13" w:rsidRPr="00FC69E7">
        <w:rPr>
          <w:rFonts w:eastAsia="Times New Roman" w:cs="Times New Roman"/>
          <w:szCs w:val="24"/>
        </w:rPr>
        <w:t xml:space="preserve"> </w:t>
      </w:r>
      <w:r w:rsidR="00511D32" w:rsidRPr="00FC69E7">
        <w:rPr>
          <w:rFonts w:eastAsia="Times New Roman" w:cs="Times New Roman"/>
          <w:szCs w:val="24"/>
        </w:rPr>
        <w:t>(</w:t>
      </w:r>
      <w:r w:rsidR="00171408" w:rsidRPr="00FC69E7">
        <w:rPr>
          <w:rFonts w:eastAsia="Times New Roman" w:cs="Times New Roman"/>
          <w:i/>
          <w:iCs/>
          <w:szCs w:val="24"/>
        </w:rPr>
        <w:t>Nicholson</w:t>
      </w:r>
      <w:r w:rsidR="00A554F5" w:rsidRPr="00FC69E7">
        <w:rPr>
          <w:rFonts w:eastAsia="Times New Roman" w:cs="Times New Roman"/>
          <w:i/>
          <w:iCs/>
          <w:szCs w:val="24"/>
        </w:rPr>
        <w:t xml:space="preserve"> </w:t>
      </w:r>
      <w:r w:rsidR="00A554F5" w:rsidRPr="00FC69E7">
        <w:rPr>
          <w:rFonts w:eastAsia="Times New Roman" w:cs="Times New Roman"/>
          <w:szCs w:val="24"/>
        </w:rPr>
        <w:t xml:space="preserve">at </w:t>
      </w:r>
      <w:r w:rsidR="007779A5" w:rsidRPr="00FC69E7">
        <w:rPr>
          <w:rFonts w:eastAsia="Times New Roman" w:cs="Times New Roman"/>
          <w:szCs w:val="24"/>
        </w:rPr>
        <w:t>828</w:t>
      </w:r>
      <w:r w:rsidR="00511D32" w:rsidRPr="00FC69E7">
        <w:rPr>
          <w:rFonts w:eastAsia="Times New Roman" w:cs="Times New Roman"/>
          <w:szCs w:val="24"/>
        </w:rPr>
        <w:t>)</w:t>
      </w:r>
      <w:r w:rsidR="00A554F5" w:rsidRPr="00FC69E7">
        <w:rPr>
          <w:rFonts w:eastAsia="Times New Roman" w:cs="Times New Roman"/>
          <w:szCs w:val="24"/>
        </w:rPr>
        <w:t xml:space="preserve"> </w:t>
      </w:r>
      <w:r w:rsidR="00FF1E57" w:rsidRPr="00FC69E7">
        <w:rPr>
          <w:rFonts w:eastAsia="Times New Roman" w:cs="Times New Roman"/>
          <w:szCs w:val="24"/>
        </w:rPr>
        <w:t xml:space="preserve">and </w:t>
      </w:r>
      <w:r w:rsidR="00634532" w:rsidRPr="00FC69E7">
        <w:rPr>
          <w:rFonts w:eastAsia="Times New Roman" w:cs="Times New Roman"/>
          <w:szCs w:val="24"/>
        </w:rPr>
        <w:t xml:space="preserve">parallels </w:t>
      </w:r>
      <w:r w:rsidR="00C2723F" w:rsidRPr="00FC69E7">
        <w:rPr>
          <w:rFonts w:eastAsia="Times New Roman" w:cs="Times New Roman"/>
          <w:szCs w:val="24"/>
        </w:rPr>
        <w:t xml:space="preserve">the reasons for admissibility </w:t>
      </w:r>
      <w:r w:rsidR="00914364" w:rsidRPr="00FC69E7">
        <w:rPr>
          <w:rFonts w:eastAsia="Times New Roman" w:cs="Times New Roman"/>
          <w:szCs w:val="24"/>
        </w:rPr>
        <w:t>of expert testimony concerning</w:t>
      </w:r>
      <w:r w:rsidR="00634532" w:rsidRPr="00FC69E7">
        <w:rPr>
          <w:rFonts w:eastAsia="Times New Roman" w:cs="Times New Roman"/>
          <w:szCs w:val="24"/>
        </w:rPr>
        <w:t xml:space="preserve"> </w:t>
      </w:r>
      <w:r w:rsidR="0091222E" w:rsidRPr="00FC69E7">
        <w:rPr>
          <w:rFonts w:eastAsia="Times New Roman" w:cs="Times New Roman"/>
          <w:szCs w:val="24"/>
        </w:rPr>
        <w:t>Rape Trauma Syndrome</w:t>
      </w:r>
      <w:r w:rsidR="004F25D6" w:rsidRPr="00FC69E7">
        <w:rPr>
          <w:rFonts w:eastAsia="Times New Roman" w:cs="Times New Roman"/>
          <w:szCs w:val="24"/>
        </w:rPr>
        <w:t xml:space="preserve">.  </w:t>
      </w:r>
      <w:r w:rsidR="00914364" w:rsidRPr="00FC69E7">
        <w:rPr>
          <w:rFonts w:eastAsia="Times New Roman" w:cs="Times New Roman"/>
          <w:szCs w:val="24"/>
        </w:rPr>
        <w:t>(</w:t>
      </w:r>
      <w:r w:rsidR="00634532" w:rsidRPr="00FC69E7">
        <w:rPr>
          <w:rFonts w:eastAsia="Times New Roman" w:cs="Times New Roman"/>
          <w:szCs w:val="24"/>
        </w:rPr>
        <w:t>Guide to NY Evid rule 7.05</w:t>
      </w:r>
      <w:r w:rsidR="00511D32" w:rsidRPr="00FC69E7">
        <w:rPr>
          <w:rFonts w:eastAsia="Times New Roman" w:cs="Times New Roman"/>
          <w:szCs w:val="24"/>
        </w:rPr>
        <w:t>.</w:t>
      </w:r>
      <w:r w:rsidR="00914364" w:rsidRPr="00FC69E7">
        <w:rPr>
          <w:rFonts w:eastAsia="Times New Roman" w:cs="Times New Roman"/>
          <w:szCs w:val="24"/>
        </w:rPr>
        <w:t>)</w:t>
      </w:r>
      <w:r w:rsidR="00140B5E" w:rsidRPr="00FC69E7">
        <w:rPr>
          <w:rFonts w:eastAsia="Times New Roman" w:cs="Times New Roman"/>
          <w:szCs w:val="24"/>
        </w:rPr>
        <w:t xml:space="preserve"> </w:t>
      </w:r>
      <w:r w:rsidR="00634532" w:rsidRPr="00FC69E7">
        <w:rPr>
          <w:rFonts w:eastAsia="Times New Roman" w:cs="Times New Roman"/>
          <w:szCs w:val="24"/>
        </w:rPr>
        <w:t>As</w:t>
      </w:r>
      <w:bookmarkStart w:id="2" w:name="_Hlk73377017"/>
      <w:r w:rsidR="001F02E1" w:rsidRPr="00FC69E7">
        <w:rPr>
          <w:rFonts w:cs="Times New Roman"/>
          <w:i/>
          <w:iCs/>
          <w:szCs w:val="24"/>
        </w:rPr>
        <w:t xml:space="preserve"> </w:t>
      </w:r>
      <w:bookmarkEnd w:id="2"/>
      <w:r w:rsidR="00140B5E" w:rsidRPr="00FC69E7">
        <w:rPr>
          <w:rFonts w:cs="Times New Roman"/>
          <w:i/>
          <w:iCs/>
          <w:szCs w:val="24"/>
        </w:rPr>
        <w:t>Carroll</w:t>
      </w:r>
      <w:r w:rsidR="00914364" w:rsidRPr="00FC69E7">
        <w:rPr>
          <w:rFonts w:cs="Times New Roman"/>
          <w:szCs w:val="24"/>
        </w:rPr>
        <w:t xml:space="preserve"> </w:t>
      </w:r>
      <w:r w:rsidR="006E7AF8" w:rsidRPr="00FC69E7">
        <w:rPr>
          <w:rFonts w:cs="Times New Roman"/>
          <w:szCs w:val="24"/>
        </w:rPr>
        <w:t>declared</w:t>
      </w:r>
      <w:r w:rsidR="009938AF" w:rsidRPr="00FC69E7">
        <w:rPr>
          <w:rFonts w:cs="Times New Roman"/>
          <w:szCs w:val="24"/>
        </w:rPr>
        <w:t xml:space="preserve">: </w:t>
      </w:r>
      <w:r w:rsidR="00EB2AFA" w:rsidRPr="00FC69E7">
        <w:rPr>
          <w:rFonts w:cs="Times New Roman"/>
          <w:szCs w:val="24"/>
        </w:rPr>
        <w:t>“</w:t>
      </w:r>
      <w:r w:rsidR="001F02E1" w:rsidRPr="00FC69E7">
        <w:rPr>
          <w:rFonts w:cs="Times New Roman"/>
          <w:szCs w:val="24"/>
        </w:rPr>
        <w:t xml:space="preserve">We have long held that expert testimony regarding rape trauma syndrome, abused child syndrome or similar conditions </w:t>
      </w:r>
      <w:bookmarkStart w:id="3" w:name="_Hlk73399446"/>
      <w:r w:rsidR="001F02E1" w:rsidRPr="00FC69E7">
        <w:rPr>
          <w:rFonts w:cs="Times New Roman"/>
          <w:szCs w:val="24"/>
        </w:rPr>
        <w:t>may be admitted</w:t>
      </w:r>
      <w:r w:rsidR="00652974" w:rsidRPr="00FC69E7">
        <w:rPr>
          <w:rFonts w:cs="Times New Roman"/>
          <w:szCs w:val="24"/>
        </w:rPr>
        <w:t xml:space="preserve"> to explain </w:t>
      </w:r>
      <w:r w:rsidR="001F02E1" w:rsidRPr="00FC69E7">
        <w:rPr>
          <w:rFonts w:cs="Times New Roman"/>
          <w:szCs w:val="24"/>
        </w:rPr>
        <w:t xml:space="preserve">behavior of a victim that might appear unusual or that jurors may not be expected to understand </w:t>
      </w:r>
      <w:bookmarkEnd w:id="3"/>
      <w:r w:rsidR="001F02E1" w:rsidRPr="00FC69E7">
        <w:rPr>
          <w:rFonts w:cs="Times New Roman"/>
          <w:szCs w:val="24"/>
        </w:rPr>
        <w:t>(</w:t>
      </w:r>
      <w:r w:rsidR="001F02E1" w:rsidRPr="00FC69E7">
        <w:rPr>
          <w:rFonts w:cs="Times New Roman"/>
          <w:i/>
          <w:iCs/>
          <w:szCs w:val="24"/>
        </w:rPr>
        <w:t>see, People v Taylor,</w:t>
      </w:r>
      <w:r w:rsidR="001F02E1" w:rsidRPr="00FC69E7">
        <w:rPr>
          <w:rFonts w:cs="Times New Roman"/>
          <w:szCs w:val="24"/>
        </w:rPr>
        <w:t xml:space="preserve"> 75 NY2d 277).</w:t>
      </w:r>
      <w:r w:rsidR="00EB2AFA" w:rsidRPr="00FC69E7">
        <w:rPr>
          <w:rFonts w:cs="Times New Roman"/>
          <w:szCs w:val="24"/>
        </w:rPr>
        <w:t>”</w:t>
      </w:r>
      <w:r w:rsidR="00914364" w:rsidRPr="00FC69E7">
        <w:rPr>
          <w:rFonts w:cs="Times New Roman"/>
          <w:szCs w:val="24"/>
        </w:rPr>
        <w:t xml:space="preserve"> </w:t>
      </w:r>
      <w:r w:rsidR="00F869CB" w:rsidRPr="00FC69E7">
        <w:rPr>
          <w:rFonts w:cs="Times New Roman"/>
          <w:szCs w:val="24"/>
        </w:rPr>
        <w:t>(</w:t>
      </w:r>
      <w:r w:rsidR="00914364" w:rsidRPr="00FC69E7">
        <w:rPr>
          <w:rFonts w:cs="Times New Roman"/>
          <w:i/>
          <w:iCs/>
          <w:szCs w:val="24"/>
        </w:rPr>
        <w:t>Carroll</w:t>
      </w:r>
      <w:r w:rsidR="00914364" w:rsidRPr="00FC69E7">
        <w:rPr>
          <w:rFonts w:cs="Times New Roman"/>
          <w:szCs w:val="24"/>
        </w:rPr>
        <w:t xml:space="preserve"> at 387</w:t>
      </w:r>
      <w:r w:rsidR="00F869CB" w:rsidRPr="00FC69E7">
        <w:rPr>
          <w:rFonts w:cs="Times New Roman"/>
          <w:szCs w:val="24"/>
        </w:rPr>
        <w:t xml:space="preserve">; </w:t>
      </w:r>
      <w:r w:rsidR="00F869CB" w:rsidRPr="00FC69E7">
        <w:rPr>
          <w:rFonts w:cs="Times New Roman"/>
          <w:i/>
          <w:iCs/>
          <w:szCs w:val="24"/>
        </w:rPr>
        <w:t>see Spicola</w:t>
      </w:r>
      <w:r w:rsidR="00F869CB" w:rsidRPr="00FC69E7">
        <w:rPr>
          <w:rFonts w:cs="Times New Roman"/>
          <w:szCs w:val="24"/>
        </w:rPr>
        <w:t xml:space="preserve"> at 465 </w:t>
      </w:r>
      <w:r w:rsidR="003B748A" w:rsidRPr="00FC69E7">
        <w:rPr>
          <w:rFonts w:cs="Times New Roman"/>
          <w:szCs w:val="24"/>
        </w:rPr>
        <w:t>[</w:t>
      </w:r>
      <w:r w:rsidR="00EB2AFA" w:rsidRPr="00FC69E7">
        <w:rPr>
          <w:rFonts w:cs="Times New Roman"/>
          <w:szCs w:val="24"/>
        </w:rPr>
        <w:t>“</w:t>
      </w:r>
      <w:r w:rsidR="00F869CB" w:rsidRPr="00FC69E7">
        <w:rPr>
          <w:rFonts w:cs="Times New Roman"/>
          <w:szCs w:val="24"/>
        </w:rPr>
        <w:t xml:space="preserve">we have </w:t>
      </w:r>
      <w:r w:rsidR="00EB2AFA" w:rsidRPr="00FC69E7">
        <w:rPr>
          <w:rFonts w:cs="Times New Roman"/>
          <w:szCs w:val="24"/>
        </w:rPr>
        <w:t>‘</w:t>
      </w:r>
      <w:r w:rsidR="00F869CB" w:rsidRPr="00FC69E7">
        <w:rPr>
          <w:rFonts w:cs="Times New Roman"/>
          <w:szCs w:val="24"/>
        </w:rPr>
        <w:t>long held</w:t>
      </w:r>
      <w:r w:rsidR="00EB2AFA" w:rsidRPr="00FC69E7">
        <w:rPr>
          <w:rFonts w:cs="Times New Roman"/>
          <w:szCs w:val="24"/>
        </w:rPr>
        <w:t>’</w:t>
      </w:r>
      <w:r w:rsidR="00F869CB" w:rsidRPr="00FC69E7">
        <w:rPr>
          <w:rFonts w:cs="Times New Roman"/>
          <w:szCs w:val="24"/>
        </w:rPr>
        <w:t xml:space="preserve"> evidence of psychological syndromes affecting certain crime victims to be admissible for the purpose of explaining behavior that might be puzzling to a </w:t>
      </w:r>
      <w:r w:rsidR="00093EBD" w:rsidRPr="00FC69E7">
        <w:rPr>
          <w:rFonts w:cs="Times New Roman"/>
          <w:szCs w:val="24"/>
        </w:rPr>
        <w:t>jury (</w:t>
      </w:r>
      <w:r w:rsidR="00093EBD" w:rsidRPr="00FC69E7">
        <w:rPr>
          <w:rFonts w:cs="Times New Roman"/>
          <w:i/>
          <w:iCs/>
          <w:szCs w:val="24"/>
        </w:rPr>
        <w:t>see Carroll</w:t>
      </w:r>
      <w:r w:rsidR="00093EBD" w:rsidRPr="00FC69E7">
        <w:rPr>
          <w:rFonts w:cs="Times New Roman"/>
          <w:szCs w:val="24"/>
        </w:rPr>
        <w:t>, 95 NY2d at 387)”]</w:t>
      </w:r>
      <w:r w:rsidR="00511D32" w:rsidRPr="00FC69E7">
        <w:rPr>
          <w:rFonts w:cs="Times New Roman"/>
          <w:szCs w:val="24"/>
        </w:rPr>
        <w:t>.</w:t>
      </w:r>
      <w:r w:rsidR="003E00AB" w:rsidRPr="00FC69E7">
        <w:rPr>
          <w:rFonts w:cs="Times New Roman"/>
          <w:szCs w:val="24"/>
        </w:rPr>
        <w:t>)</w:t>
      </w:r>
    </w:p>
    <w:p w14:paraId="792A9CE4" w14:textId="47A2AFF3" w:rsidR="00C85296" w:rsidRPr="00FC69E7" w:rsidRDefault="00C85296" w:rsidP="004F25D6">
      <w:pPr>
        <w:ind w:left="0" w:right="0"/>
        <w:jc w:val="both"/>
        <w:rPr>
          <w:rFonts w:cs="Times New Roman"/>
          <w:szCs w:val="24"/>
        </w:rPr>
      </w:pPr>
    </w:p>
    <w:p w14:paraId="0A145A17" w14:textId="100D13BD" w:rsidR="004A3C81" w:rsidRPr="00FC69E7" w:rsidRDefault="00191DF1" w:rsidP="004F25D6">
      <w:pPr>
        <w:ind w:left="0" w:right="0"/>
        <w:jc w:val="both"/>
        <w:rPr>
          <w:rFonts w:cs="Times New Roman"/>
          <w:szCs w:val="24"/>
        </w:rPr>
      </w:pPr>
      <w:r w:rsidRPr="00FC69E7">
        <w:rPr>
          <w:rFonts w:cs="Times New Roman"/>
          <w:szCs w:val="24"/>
        </w:rPr>
        <w:tab/>
      </w:r>
      <w:r w:rsidR="0034399E" w:rsidRPr="00FC69E7">
        <w:rPr>
          <w:rFonts w:eastAsia="Times New Roman" w:cs="Times New Roman"/>
          <w:szCs w:val="24"/>
        </w:rPr>
        <w:t>I</w:t>
      </w:r>
      <w:r w:rsidR="00D90DD8" w:rsidRPr="00FC69E7">
        <w:rPr>
          <w:rFonts w:eastAsia="Times New Roman" w:cs="Times New Roman"/>
          <w:szCs w:val="24"/>
        </w:rPr>
        <w:t xml:space="preserve">n </w:t>
      </w:r>
      <w:r w:rsidR="001F02E1" w:rsidRPr="00FC69E7">
        <w:rPr>
          <w:rFonts w:cs="Times New Roman"/>
          <w:i/>
          <w:iCs/>
          <w:szCs w:val="24"/>
        </w:rPr>
        <w:t>People v Keindl</w:t>
      </w:r>
      <w:r w:rsidR="00D90DD8" w:rsidRPr="00FC69E7">
        <w:rPr>
          <w:rFonts w:cs="Times New Roman"/>
          <w:i/>
          <w:iCs/>
          <w:szCs w:val="24"/>
        </w:rPr>
        <w:t xml:space="preserve"> </w:t>
      </w:r>
      <w:r w:rsidR="00511D32" w:rsidRPr="00FC69E7">
        <w:rPr>
          <w:rFonts w:cs="Times New Roman"/>
          <w:iCs/>
          <w:szCs w:val="24"/>
        </w:rPr>
        <w:t>(</w:t>
      </w:r>
      <w:r w:rsidR="001F02E1" w:rsidRPr="00FC69E7">
        <w:rPr>
          <w:rFonts w:cs="Times New Roman"/>
          <w:szCs w:val="24"/>
        </w:rPr>
        <w:t>68 NY2d 410, 422</w:t>
      </w:r>
      <w:r w:rsidR="005F5C62" w:rsidRPr="00FC69E7">
        <w:rPr>
          <w:rFonts w:cs="Times New Roman"/>
          <w:szCs w:val="24"/>
        </w:rPr>
        <w:t xml:space="preserve"> </w:t>
      </w:r>
      <w:r w:rsidR="002D1D0E" w:rsidRPr="00FC69E7">
        <w:rPr>
          <w:rFonts w:cs="Times New Roman"/>
          <w:szCs w:val="24"/>
        </w:rPr>
        <w:t>[1986]</w:t>
      </w:r>
      <w:r w:rsidR="00511D32" w:rsidRPr="00FC69E7">
        <w:rPr>
          <w:rFonts w:cs="Times New Roman"/>
          <w:szCs w:val="24"/>
        </w:rPr>
        <w:t>)</w:t>
      </w:r>
      <w:r w:rsidR="00D90DD8" w:rsidRPr="00FC69E7">
        <w:rPr>
          <w:rFonts w:cs="Times New Roman"/>
          <w:szCs w:val="24"/>
        </w:rPr>
        <w:t>,</w:t>
      </w:r>
      <w:r w:rsidR="0034399E" w:rsidRPr="00FC69E7">
        <w:rPr>
          <w:rFonts w:cs="Times New Roman"/>
          <w:szCs w:val="24"/>
        </w:rPr>
        <w:t xml:space="preserve"> as </w:t>
      </w:r>
      <w:r w:rsidR="0034399E" w:rsidRPr="00FC69E7">
        <w:rPr>
          <w:rFonts w:cs="Times New Roman"/>
          <w:i/>
          <w:iCs/>
          <w:szCs w:val="24"/>
        </w:rPr>
        <w:t xml:space="preserve">Carroll </w:t>
      </w:r>
      <w:r w:rsidR="0034399E" w:rsidRPr="00FC69E7">
        <w:rPr>
          <w:rFonts w:cs="Times New Roman"/>
          <w:szCs w:val="24"/>
        </w:rPr>
        <w:t xml:space="preserve">explained, </w:t>
      </w:r>
      <w:r w:rsidR="00EB2AFA" w:rsidRPr="00FC69E7">
        <w:rPr>
          <w:rFonts w:cs="Times New Roman"/>
          <w:szCs w:val="24"/>
        </w:rPr>
        <w:t>“</w:t>
      </w:r>
      <w:r w:rsidR="001F02E1" w:rsidRPr="00FC69E7">
        <w:rPr>
          <w:rFonts w:cs="Times New Roman"/>
          <w:szCs w:val="24"/>
        </w:rPr>
        <w:t xml:space="preserve">expert testimony was permitted to </w:t>
      </w:r>
      <w:r w:rsidR="00EB2AFA" w:rsidRPr="00FC69E7">
        <w:rPr>
          <w:rFonts w:cs="Times New Roman"/>
          <w:szCs w:val="24"/>
        </w:rPr>
        <w:t>‘</w:t>
      </w:r>
      <w:r w:rsidR="001F02E1" w:rsidRPr="00FC69E7">
        <w:rPr>
          <w:rFonts w:cs="Times New Roman"/>
          <w:szCs w:val="24"/>
        </w:rPr>
        <w:t>rebut defendant</w:t>
      </w:r>
      <w:r w:rsidR="00EB2AFA" w:rsidRPr="00FC69E7">
        <w:rPr>
          <w:rFonts w:cs="Times New Roman"/>
          <w:szCs w:val="24"/>
        </w:rPr>
        <w:t>’</w:t>
      </w:r>
      <w:r w:rsidR="001F02E1" w:rsidRPr="00FC69E7">
        <w:rPr>
          <w:rFonts w:cs="Times New Roman"/>
          <w:szCs w:val="24"/>
        </w:rPr>
        <w:t>s attempt to impair the credibility of [</w:t>
      </w:r>
      <w:r w:rsidR="00B52ADD" w:rsidRPr="00FC69E7">
        <w:rPr>
          <w:rFonts w:cs="Times New Roman"/>
          <w:szCs w:val="24"/>
        </w:rPr>
        <w:t xml:space="preserve">sexually abused </w:t>
      </w:r>
      <w:r w:rsidR="00DC1D5E" w:rsidRPr="00FC69E7">
        <w:rPr>
          <w:rFonts w:cs="Times New Roman"/>
          <w:szCs w:val="24"/>
        </w:rPr>
        <w:t>chil</w:t>
      </w:r>
      <w:r w:rsidR="001F02E1" w:rsidRPr="00FC69E7">
        <w:rPr>
          <w:rFonts w:cs="Times New Roman"/>
          <w:szCs w:val="24"/>
        </w:rPr>
        <w:t>dren] by evidence that they had not promptly complained</w:t>
      </w:r>
      <w:r w:rsidR="00EB2AFA" w:rsidRPr="00FC69E7">
        <w:rPr>
          <w:rFonts w:cs="Times New Roman"/>
          <w:szCs w:val="24"/>
        </w:rPr>
        <w:t>’</w:t>
      </w:r>
      <w:r w:rsidR="001F02E1" w:rsidRPr="00FC69E7">
        <w:rPr>
          <w:rFonts w:cs="Times New Roman"/>
          <w:szCs w:val="24"/>
        </w:rPr>
        <w:t xml:space="preserve"> of the </w:t>
      </w:r>
      <w:r w:rsidR="00DC1D5E" w:rsidRPr="00FC69E7">
        <w:rPr>
          <w:rFonts w:cs="Times New Roman"/>
          <w:szCs w:val="24"/>
        </w:rPr>
        <w:t xml:space="preserve">sexual </w:t>
      </w:r>
      <w:r w:rsidR="001F02E1" w:rsidRPr="00FC69E7">
        <w:rPr>
          <w:rFonts w:cs="Times New Roman"/>
          <w:szCs w:val="24"/>
        </w:rPr>
        <w:t>abuse (</w:t>
      </w:r>
      <w:r w:rsidR="001F02E1" w:rsidRPr="00FC69E7">
        <w:rPr>
          <w:rFonts w:cs="Times New Roman"/>
          <w:i/>
          <w:iCs/>
          <w:szCs w:val="24"/>
        </w:rPr>
        <w:t>People v Taylor, supra,</w:t>
      </w:r>
      <w:r w:rsidR="001F02E1" w:rsidRPr="00FC69E7">
        <w:rPr>
          <w:rFonts w:cs="Times New Roman"/>
          <w:szCs w:val="24"/>
        </w:rPr>
        <w:t xml:space="preserve"> 75 NY2d, at 288).</w:t>
      </w:r>
      <w:r w:rsidR="00EB2AFA" w:rsidRPr="00FC69E7">
        <w:rPr>
          <w:rFonts w:cs="Times New Roman"/>
          <w:szCs w:val="24"/>
        </w:rPr>
        <w:t>”</w:t>
      </w:r>
      <w:r w:rsidR="00F236EF" w:rsidRPr="00FC69E7">
        <w:rPr>
          <w:rFonts w:cs="Times New Roman"/>
          <w:szCs w:val="24"/>
        </w:rPr>
        <w:t xml:space="preserve"> </w:t>
      </w:r>
      <w:r w:rsidR="005B7ABD" w:rsidRPr="00FC69E7">
        <w:rPr>
          <w:rFonts w:cs="Times New Roman"/>
          <w:szCs w:val="24"/>
        </w:rPr>
        <w:t>(</w:t>
      </w:r>
      <w:r w:rsidR="007779A5" w:rsidRPr="00FC69E7">
        <w:rPr>
          <w:rFonts w:cs="Times New Roman"/>
          <w:i/>
          <w:iCs/>
          <w:szCs w:val="24"/>
        </w:rPr>
        <w:t>Carroll</w:t>
      </w:r>
      <w:r w:rsidR="007779A5" w:rsidRPr="00FC69E7">
        <w:rPr>
          <w:rFonts w:cs="Times New Roman"/>
          <w:szCs w:val="24"/>
        </w:rPr>
        <w:t xml:space="preserve"> at 387.</w:t>
      </w:r>
      <w:r w:rsidR="005B7ABD" w:rsidRPr="00FC69E7">
        <w:rPr>
          <w:rFonts w:cs="Times New Roman"/>
          <w:szCs w:val="24"/>
        </w:rPr>
        <w:t>)</w:t>
      </w:r>
      <w:r w:rsidR="007779A5" w:rsidRPr="00FC69E7">
        <w:rPr>
          <w:rFonts w:cs="Times New Roman"/>
          <w:szCs w:val="24"/>
        </w:rPr>
        <w:t xml:space="preserve"> </w:t>
      </w:r>
      <w:r w:rsidR="007D24ED" w:rsidRPr="00FC69E7">
        <w:rPr>
          <w:rFonts w:cs="Times New Roman"/>
          <w:szCs w:val="24"/>
        </w:rPr>
        <w:t xml:space="preserve">Similarly, in </w:t>
      </w:r>
      <w:r w:rsidR="00F236EF" w:rsidRPr="00FC69E7">
        <w:rPr>
          <w:rFonts w:cs="Times New Roman"/>
          <w:i/>
          <w:iCs/>
          <w:szCs w:val="24"/>
        </w:rPr>
        <w:t>Carrol</w:t>
      </w:r>
      <w:r w:rsidR="00142E7E" w:rsidRPr="00FC69E7">
        <w:rPr>
          <w:rFonts w:cs="Times New Roman"/>
          <w:i/>
          <w:iCs/>
          <w:szCs w:val="24"/>
        </w:rPr>
        <w:t>l</w:t>
      </w:r>
      <w:r w:rsidR="007E5B1E" w:rsidRPr="00FC69E7">
        <w:rPr>
          <w:rFonts w:cs="Times New Roman"/>
          <w:szCs w:val="24"/>
        </w:rPr>
        <w:t xml:space="preserve">, </w:t>
      </w:r>
      <w:r w:rsidR="00F236EF" w:rsidRPr="00FC69E7">
        <w:rPr>
          <w:rFonts w:cs="Times New Roman"/>
          <w:szCs w:val="24"/>
        </w:rPr>
        <w:t xml:space="preserve">the expert referred to </w:t>
      </w:r>
      <w:r w:rsidR="003319D6" w:rsidRPr="00FC69E7">
        <w:rPr>
          <w:rFonts w:eastAsia="Times New Roman" w:cs="Times New Roman"/>
          <w:szCs w:val="24"/>
        </w:rPr>
        <w:t>CSAS</w:t>
      </w:r>
      <w:r w:rsidR="00F236EF" w:rsidRPr="00FC69E7">
        <w:rPr>
          <w:rFonts w:eastAsia="Times New Roman" w:cs="Times New Roman"/>
          <w:szCs w:val="24"/>
        </w:rPr>
        <w:t xml:space="preserve"> </w:t>
      </w:r>
      <w:r w:rsidR="00EB2AFA" w:rsidRPr="00FC69E7">
        <w:rPr>
          <w:rFonts w:eastAsia="Times New Roman" w:cs="Times New Roman"/>
          <w:szCs w:val="24"/>
        </w:rPr>
        <w:t>“</w:t>
      </w:r>
      <w:r w:rsidR="00F236EF" w:rsidRPr="00FC69E7">
        <w:rPr>
          <w:rFonts w:eastAsia="Times New Roman" w:cs="Times New Roman"/>
          <w:szCs w:val="24"/>
        </w:rPr>
        <w:t>only generally insofar as it provides an understanding of why children may delay in reporting sexual abuse.</w:t>
      </w:r>
      <w:r w:rsidR="00EB2AFA" w:rsidRPr="00FC69E7">
        <w:rPr>
          <w:rFonts w:eastAsia="Times New Roman" w:cs="Times New Roman"/>
          <w:szCs w:val="24"/>
        </w:rPr>
        <w:t>”</w:t>
      </w:r>
      <w:r w:rsidR="00F236EF" w:rsidRPr="00FC69E7">
        <w:rPr>
          <w:rFonts w:eastAsia="Times New Roman" w:cs="Times New Roman"/>
          <w:szCs w:val="24"/>
        </w:rPr>
        <w:t xml:space="preserve"> </w:t>
      </w:r>
      <w:r w:rsidR="005B7ABD" w:rsidRPr="00FC69E7">
        <w:rPr>
          <w:rFonts w:eastAsia="Times New Roman" w:cs="Times New Roman"/>
          <w:szCs w:val="24"/>
        </w:rPr>
        <w:t>(</w:t>
      </w:r>
      <w:r w:rsidR="001268A4" w:rsidRPr="00FC69E7">
        <w:rPr>
          <w:rFonts w:eastAsia="Times New Roman" w:cs="Times New Roman"/>
          <w:i/>
          <w:iCs/>
          <w:szCs w:val="24"/>
        </w:rPr>
        <w:t>Id.</w:t>
      </w:r>
      <w:r w:rsidR="005B7ABD" w:rsidRPr="00FC69E7">
        <w:rPr>
          <w:rFonts w:eastAsia="Times New Roman" w:cs="Times New Roman"/>
          <w:iCs/>
          <w:szCs w:val="24"/>
        </w:rPr>
        <w:t>)</w:t>
      </w:r>
    </w:p>
    <w:p w14:paraId="6AD844DA" w14:textId="77777777" w:rsidR="004A3C81" w:rsidRPr="00FC69E7" w:rsidRDefault="004A3C81" w:rsidP="004F25D6">
      <w:pPr>
        <w:ind w:left="0" w:right="0"/>
        <w:jc w:val="both"/>
        <w:rPr>
          <w:rFonts w:cs="Times New Roman"/>
          <w:szCs w:val="24"/>
        </w:rPr>
      </w:pPr>
    </w:p>
    <w:p w14:paraId="6F388F52" w14:textId="56D24BED" w:rsidR="00D37E82" w:rsidRPr="00FC69E7" w:rsidRDefault="00D57017" w:rsidP="004F25D6">
      <w:pPr>
        <w:shd w:val="clear" w:color="auto" w:fill="FFFFFF"/>
        <w:ind w:left="0" w:right="0"/>
        <w:jc w:val="both"/>
        <w:rPr>
          <w:rFonts w:cs="Times New Roman"/>
          <w:szCs w:val="24"/>
        </w:rPr>
      </w:pPr>
      <w:r w:rsidRPr="00FC69E7">
        <w:rPr>
          <w:rFonts w:cs="Times New Roman"/>
          <w:szCs w:val="24"/>
        </w:rPr>
        <w:tab/>
      </w:r>
      <w:bookmarkStart w:id="4" w:name="_Hlk73455429"/>
      <w:r w:rsidR="00431C11" w:rsidRPr="00FC69E7">
        <w:rPr>
          <w:rFonts w:cs="Times New Roman"/>
          <w:i/>
          <w:iCs/>
          <w:szCs w:val="24"/>
        </w:rPr>
        <w:t>Spicola</w:t>
      </w:r>
      <w:bookmarkEnd w:id="4"/>
      <w:r w:rsidR="00431C11" w:rsidRPr="00FC69E7">
        <w:rPr>
          <w:rFonts w:cs="Times New Roman"/>
          <w:szCs w:val="24"/>
        </w:rPr>
        <w:t xml:space="preserve"> confirmed </w:t>
      </w:r>
      <w:r w:rsidR="00861B90" w:rsidRPr="00FC69E7">
        <w:rPr>
          <w:rFonts w:cs="Times New Roman"/>
          <w:szCs w:val="24"/>
        </w:rPr>
        <w:t>the</w:t>
      </w:r>
      <w:r w:rsidR="00E62E3F" w:rsidRPr="00FC69E7">
        <w:rPr>
          <w:rFonts w:cs="Times New Roman"/>
          <w:szCs w:val="24"/>
        </w:rPr>
        <w:t xml:space="preserve"> admissibility of </w:t>
      </w:r>
      <w:r w:rsidR="003319D6" w:rsidRPr="00FC69E7">
        <w:rPr>
          <w:rFonts w:cs="Times New Roman"/>
          <w:szCs w:val="24"/>
        </w:rPr>
        <w:t>CSAS</w:t>
      </w:r>
      <w:r w:rsidR="00E62E3F" w:rsidRPr="00FC69E7">
        <w:rPr>
          <w:rFonts w:cs="Times New Roman"/>
          <w:szCs w:val="24"/>
        </w:rPr>
        <w:t xml:space="preserve"> evidence </w:t>
      </w:r>
      <w:r w:rsidR="00861B90" w:rsidRPr="00FC69E7">
        <w:rPr>
          <w:rFonts w:cs="Times New Roman"/>
          <w:szCs w:val="24"/>
        </w:rPr>
        <w:t xml:space="preserve">and provided </w:t>
      </w:r>
      <w:r w:rsidR="00EC55FD" w:rsidRPr="00FC69E7">
        <w:rPr>
          <w:rFonts w:cs="Times New Roman"/>
          <w:szCs w:val="24"/>
        </w:rPr>
        <w:t>further illustrations of when it may be admissible</w:t>
      </w:r>
      <w:bookmarkStart w:id="5" w:name="_Hlk73377547"/>
      <w:r w:rsidR="00005D3F" w:rsidRPr="00FC69E7">
        <w:rPr>
          <w:rFonts w:cs="Times New Roman"/>
          <w:szCs w:val="24"/>
        </w:rPr>
        <w:t>,</w:t>
      </w:r>
      <w:r w:rsidR="00D34041" w:rsidRPr="00FC69E7">
        <w:rPr>
          <w:rFonts w:cs="Times New Roman"/>
          <w:szCs w:val="24"/>
        </w:rPr>
        <w:t xml:space="preserve"> noting</w:t>
      </w:r>
      <w:r w:rsidR="007542BD" w:rsidRPr="00FC69E7">
        <w:rPr>
          <w:rFonts w:cs="Times New Roman"/>
          <w:szCs w:val="24"/>
        </w:rPr>
        <w:t xml:space="preserve"> that</w:t>
      </w:r>
      <w:r w:rsidR="00E061E5" w:rsidRPr="00FC69E7">
        <w:rPr>
          <w:rFonts w:cs="Times New Roman"/>
          <w:b/>
          <w:bCs/>
          <w:szCs w:val="24"/>
        </w:rPr>
        <w:t xml:space="preserve"> </w:t>
      </w:r>
      <w:r w:rsidR="00E60B9C" w:rsidRPr="00FC69E7">
        <w:rPr>
          <w:rFonts w:cs="Times New Roman"/>
          <w:szCs w:val="24"/>
        </w:rPr>
        <w:t>“</w:t>
      </w:r>
      <w:r w:rsidR="00E061E5" w:rsidRPr="00FC69E7">
        <w:rPr>
          <w:rFonts w:cs="Times New Roman"/>
          <w:szCs w:val="24"/>
        </w:rPr>
        <w:t xml:space="preserve">the majority of states </w:t>
      </w:r>
      <w:r w:rsidR="00E60B9C" w:rsidRPr="00FC69E7">
        <w:rPr>
          <w:rFonts w:cs="Times New Roman"/>
          <w:szCs w:val="24"/>
        </w:rPr>
        <w:t>‘</w:t>
      </w:r>
      <w:r w:rsidR="00E061E5" w:rsidRPr="00FC69E7">
        <w:rPr>
          <w:rFonts w:cs="Times New Roman"/>
          <w:szCs w:val="24"/>
        </w:rPr>
        <w:t>permit expert testimony to explain delayed reporting, recantation, and inconsistency,</w:t>
      </w:r>
      <w:r w:rsidR="00E60B9C" w:rsidRPr="00FC69E7">
        <w:rPr>
          <w:rFonts w:cs="Times New Roman"/>
          <w:szCs w:val="24"/>
        </w:rPr>
        <w:t>’</w:t>
      </w:r>
      <w:r w:rsidR="00E061E5" w:rsidRPr="00FC69E7">
        <w:rPr>
          <w:rFonts w:cs="Times New Roman"/>
          <w:szCs w:val="24"/>
        </w:rPr>
        <w:t xml:space="preserve"> as well as </w:t>
      </w:r>
      <w:r w:rsidR="008B67E3" w:rsidRPr="00FC69E7">
        <w:rPr>
          <w:rFonts w:cs="Times New Roman"/>
          <w:szCs w:val="24"/>
        </w:rPr>
        <w:t>‘</w:t>
      </w:r>
      <w:r w:rsidR="00E061E5" w:rsidRPr="00FC69E7">
        <w:rPr>
          <w:rFonts w:cs="Times New Roman"/>
          <w:szCs w:val="24"/>
        </w:rPr>
        <w:t xml:space="preserve">to explain why some abused children are angry, why some children want to live with the person who abused them, why a victim might appear </w:t>
      </w:r>
      <w:r w:rsidR="00AC434D" w:rsidRPr="00FC69E7">
        <w:rPr>
          <w:rFonts w:cs="Times New Roman"/>
          <w:szCs w:val="24"/>
        </w:rPr>
        <w:t>“</w:t>
      </w:r>
      <w:r w:rsidR="00E061E5" w:rsidRPr="00FC69E7">
        <w:rPr>
          <w:rFonts w:cs="Times New Roman"/>
          <w:szCs w:val="24"/>
        </w:rPr>
        <w:t>emotionally flat</w:t>
      </w:r>
      <w:r w:rsidR="00AC434D" w:rsidRPr="00FC69E7">
        <w:rPr>
          <w:rFonts w:cs="Times New Roman"/>
          <w:szCs w:val="24"/>
        </w:rPr>
        <w:t>”</w:t>
      </w:r>
      <w:r w:rsidR="00E061E5" w:rsidRPr="00FC69E7">
        <w:rPr>
          <w:rFonts w:cs="Times New Roman"/>
          <w:szCs w:val="24"/>
        </w:rPr>
        <w:t xml:space="preserve"> following sexual assault, why a child might run away from home, and for other purposes</w:t>
      </w:r>
      <w:r w:rsidR="008B67E3" w:rsidRPr="00FC69E7">
        <w:rPr>
          <w:rFonts w:cs="Times New Roman"/>
          <w:szCs w:val="24"/>
        </w:rPr>
        <w:t>’</w:t>
      </w:r>
      <w:r w:rsidR="00E061E5" w:rsidRPr="00FC69E7">
        <w:rPr>
          <w:rFonts w:cs="Times New Roman"/>
          <w:szCs w:val="24"/>
        </w:rPr>
        <w:t xml:space="preserve"> (</w:t>
      </w:r>
      <w:r w:rsidR="00E061E5" w:rsidRPr="00FC69E7">
        <w:rPr>
          <w:rFonts w:cs="Times New Roman"/>
          <w:i/>
          <w:iCs/>
          <w:szCs w:val="24"/>
        </w:rPr>
        <w:t>see</w:t>
      </w:r>
      <w:r w:rsidR="00E061E5" w:rsidRPr="00FC69E7">
        <w:rPr>
          <w:rFonts w:cs="Times New Roman"/>
          <w:szCs w:val="24"/>
        </w:rPr>
        <w:t xml:space="preserve"> 1 Myers on Evidence § 6.24, at 416</w:t>
      </w:r>
      <w:r w:rsidR="00AC434D" w:rsidRPr="00FC69E7">
        <w:rPr>
          <w:rFonts w:cs="Times New Roman"/>
          <w:szCs w:val="24"/>
        </w:rPr>
        <w:t>-</w:t>
      </w:r>
      <w:r w:rsidR="00E061E5" w:rsidRPr="00FC69E7">
        <w:rPr>
          <w:rFonts w:cs="Times New Roman"/>
          <w:szCs w:val="24"/>
        </w:rPr>
        <w:t>422 [collecting cases</w:t>
      </w:r>
      <w:r w:rsidR="00AC434D" w:rsidRPr="00FC69E7">
        <w:rPr>
          <w:rFonts w:cs="Times New Roman"/>
          <w:szCs w:val="24"/>
        </w:rPr>
        <w:t xml:space="preserve"> . . . </w:t>
      </w:r>
      <w:r w:rsidR="00E061E5" w:rsidRPr="00FC69E7">
        <w:rPr>
          <w:rFonts w:cs="Times New Roman"/>
          <w:szCs w:val="24"/>
        </w:rPr>
        <w:t>]).</w:t>
      </w:r>
      <w:r w:rsidR="00C2747C" w:rsidRPr="00FC69E7">
        <w:rPr>
          <w:rFonts w:cs="Times New Roman"/>
          <w:szCs w:val="24"/>
        </w:rPr>
        <w:t>”</w:t>
      </w:r>
      <w:r w:rsidR="00FE690E" w:rsidRPr="00FC69E7">
        <w:rPr>
          <w:rFonts w:cs="Times New Roman"/>
          <w:szCs w:val="24"/>
        </w:rPr>
        <w:t xml:space="preserve"> </w:t>
      </w:r>
      <w:r w:rsidR="00307FB2" w:rsidRPr="00FC69E7">
        <w:rPr>
          <w:rFonts w:cs="Times New Roman"/>
          <w:szCs w:val="24"/>
        </w:rPr>
        <w:t>(</w:t>
      </w:r>
      <w:r w:rsidR="00EF65E7" w:rsidRPr="00FC69E7">
        <w:rPr>
          <w:rFonts w:cs="Times New Roman"/>
          <w:i/>
          <w:iCs/>
          <w:szCs w:val="24"/>
        </w:rPr>
        <w:t>Spicola</w:t>
      </w:r>
      <w:r w:rsidR="00EF65E7" w:rsidRPr="00FC69E7">
        <w:rPr>
          <w:rFonts w:cs="Times New Roman"/>
          <w:szCs w:val="24"/>
        </w:rPr>
        <w:t xml:space="preserve"> at 46</w:t>
      </w:r>
      <w:r w:rsidR="00AC434D" w:rsidRPr="00FC69E7">
        <w:rPr>
          <w:rFonts w:cs="Times New Roman"/>
          <w:szCs w:val="24"/>
        </w:rPr>
        <w:t>5</w:t>
      </w:r>
      <w:r w:rsidR="00307FB2" w:rsidRPr="00FC69E7">
        <w:rPr>
          <w:rFonts w:cs="Times New Roman"/>
          <w:szCs w:val="24"/>
        </w:rPr>
        <w:t xml:space="preserve">; </w:t>
      </w:r>
      <w:r w:rsidR="00C97A44" w:rsidRPr="00FC69E7">
        <w:rPr>
          <w:rFonts w:eastAsia="Times New Roman" w:cs="Times New Roman"/>
          <w:i/>
          <w:iCs/>
          <w:szCs w:val="24"/>
        </w:rPr>
        <w:t>Nicholson</w:t>
      </w:r>
      <w:r w:rsidR="00580664" w:rsidRPr="00FC69E7">
        <w:rPr>
          <w:rFonts w:eastAsia="Times New Roman" w:cs="Times New Roman"/>
          <w:szCs w:val="24"/>
        </w:rPr>
        <w:t xml:space="preserve"> at 828 [</w:t>
      </w:r>
      <w:r w:rsidR="00EB2AFA" w:rsidRPr="00FC69E7">
        <w:rPr>
          <w:rFonts w:eastAsia="Times New Roman" w:cs="Times New Roman"/>
          <w:szCs w:val="24"/>
        </w:rPr>
        <w:t>“</w:t>
      </w:r>
      <w:r w:rsidR="00F84AFF" w:rsidRPr="00FC69E7">
        <w:rPr>
          <w:rFonts w:eastAsia="Times New Roman" w:cs="Times New Roman"/>
          <w:szCs w:val="24"/>
        </w:rPr>
        <w:t xml:space="preserve">The expert educates the jury on a scientifically-recognized </w:t>
      </w:r>
      <w:r w:rsidR="00EB2AFA" w:rsidRPr="00FC69E7">
        <w:rPr>
          <w:rFonts w:eastAsia="Times New Roman" w:cs="Times New Roman"/>
          <w:szCs w:val="24"/>
        </w:rPr>
        <w:t>‘</w:t>
      </w:r>
      <w:r w:rsidR="00F84AFF" w:rsidRPr="00FC69E7">
        <w:rPr>
          <w:rFonts w:eastAsia="Times New Roman" w:cs="Times New Roman"/>
          <w:szCs w:val="24"/>
        </w:rPr>
        <w:t xml:space="preserve">pattern of secrecy, helplessness, entrapment </w:t>
      </w:r>
      <w:r w:rsidR="001B6D19" w:rsidRPr="00FC69E7">
        <w:rPr>
          <w:rFonts w:eastAsia="Times New Roman" w:cs="Times New Roman"/>
          <w:szCs w:val="24"/>
        </w:rPr>
        <w:t>(</w:t>
      </w:r>
      <w:r w:rsidR="00F84AFF" w:rsidRPr="00FC69E7">
        <w:rPr>
          <w:rFonts w:eastAsia="Times New Roman" w:cs="Times New Roman"/>
          <w:szCs w:val="24"/>
        </w:rPr>
        <w:t>and</w:t>
      </w:r>
      <w:r w:rsidR="001B6D19" w:rsidRPr="00FC69E7">
        <w:rPr>
          <w:rFonts w:eastAsia="Times New Roman" w:cs="Times New Roman"/>
          <w:szCs w:val="24"/>
        </w:rPr>
        <w:t>)</w:t>
      </w:r>
      <w:r w:rsidR="00F84AFF" w:rsidRPr="00FC69E7">
        <w:rPr>
          <w:rFonts w:eastAsia="Times New Roman" w:cs="Times New Roman"/>
          <w:szCs w:val="24"/>
        </w:rPr>
        <w:t xml:space="preserve"> accommodation</w:t>
      </w:r>
      <w:r w:rsidR="00EB2AFA" w:rsidRPr="00FC69E7">
        <w:rPr>
          <w:rFonts w:eastAsia="Times New Roman" w:cs="Times New Roman"/>
          <w:szCs w:val="24"/>
        </w:rPr>
        <w:t>’</w:t>
      </w:r>
      <w:r w:rsidR="00F84AFF" w:rsidRPr="00FC69E7">
        <w:rPr>
          <w:rFonts w:eastAsia="Times New Roman" w:cs="Times New Roman"/>
          <w:szCs w:val="24"/>
        </w:rPr>
        <w:t xml:space="preserve"> experienced by the child victim</w:t>
      </w:r>
      <w:r w:rsidR="004F25D6" w:rsidRPr="00FC69E7">
        <w:rPr>
          <w:rFonts w:eastAsia="Times New Roman" w:cs="Times New Roman"/>
          <w:szCs w:val="24"/>
        </w:rPr>
        <w:t xml:space="preserve">.  </w:t>
      </w:r>
      <w:r w:rsidR="00F84AFF" w:rsidRPr="00FC69E7">
        <w:rPr>
          <w:rFonts w:eastAsia="Times New Roman" w:cs="Times New Roman"/>
          <w:szCs w:val="24"/>
        </w:rPr>
        <w:t xml:space="preserve">This includes assisting the jury to understand </w:t>
      </w:r>
      <w:r w:rsidR="00EB2AFA" w:rsidRPr="00FC69E7">
        <w:rPr>
          <w:rFonts w:eastAsia="Times New Roman" w:cs="Times New Roman"/>
          <w:szCs w:val="24"/>
        </w:rPr>
        <w:t>‘</w:t>
      </w:r>
      <w:r w:rsidR="00F84AFF" w:rsidRPr="00FC69E7">
        <w:rPr>
          <w:rFonts w:eastAsia="Times New Roman" w:cs="Times New Roman"/>
          <w:szCs w:val="24"/>
        </w:rPr>
        <w:t>why a child may wait a long time before reporting the alleged abuse</w:t>
      </w:r>
      <w:r w:rsidR="00FF5558" w:rsidRPr="00FC69E7">
        <w:rPr>
          <w:rFonts w:eastAsia="Times New Roman" w:cs="Times New Roman"/>
          <w:szCs w:val="24"/>
        </w:rPr>
        <w:t>,</w:t>
      </w:r>
      <w:r w:rsidR="00EB2AFA" w:rsidRPr="00FC69E7">
        <w:rPr>
          <w:rFonts w:eastAsia="Times New Roman" w:cs="Times New Roman"/>
          <w:szCs w:val="24"/>
        </w:rPr>
        <w:t>’</w:t>
      </w:r>
      <w:r w:rsidR="00F84AFF" w:rsidRPr="00FC69E7">
        <w:rPr>
          <w:rFonts w:eastAsia="Times New Roman" w:cs="Times New Roman"/>
          <w:szCs w:val="24"/>
        </w:rPr>
        <w:t xml:space="preserve"> fail to report at all, and deny or recant claims of sexual assault</w:t>
      </w:r>
      <w:r w:rsidR="001D6FA5" w:rsidRPr="00FC69E7">
        <w:rPr>
          <w:rFonts w:eastAsia="Times New Roman" w:cs="Times New Roman"/>
          <w:szCs w:val="24"/>
        </w:rPr>
        <w:t>”</w:t>
      </w:r>
      <w:r w:rsidR="00FF5558" w:rsidRPr="00FC69E7">
        <w:rPr>
          <w:rFonts w:eastAsia="Times New Roman" w:cs="Times New Roman"/>
          <w:szCs w:val="24"/>
        </w:rPr>
        <w:t xml:space="preserve"> (</w:t>
      </w:r>
      <w:r w:rsidR="00115E9C" w:rsidRPr="00FC69E7">
        <w:rPr>
          <w:rFonts w:eastAsia="Times New Roman" w:cs="Times New Roman"/>
          <w:szCs w:val="24"/>
        </w:rPr>
        <w:t>citations omitted</w:t>
      </w:r>
      <w:r w:rsidR="00E05212" w:rsidRPr="00FC69E7">
        <w:rPr>
          <w:rFonts w:eastAsia="Times New Roman" w:cs="Times New Roman"/>
          <w:szCs w:val="24"/>
        </w:rPr>
        <w:t>)].</w:t>
      </w:r>
      <w:r w:rsidR="001D6FA5" w:rsidRPr="00FC69E7">
        <w:rPr>
          <w:rFonts w:eastAsia="Times New Roman" w:cs="Times New Roman"/>
          <w:szCs w:val="24"/>
        </w:rPr>
        <w:t>)</w:t>
      </w:r>
      <w:r w:rsidR="00E05212" w:rsidRPr="00FC69E7">
        <w:rPr>
          <w:rFonts w:eastAsia="Times New Roman" w:cs="Times New Roman"/>
          <w:szCs w:val="24"/>
        </w:rPr>
        <w:t xml:space="preserve"> </w:t>
      </w:r>
    </w:p>
    <w:p w14:paraId="76C6F589" w14:textId="77777777" w:rsidR="00D37E82" w:rsidRPr="00FC69E7" w:rsidRDefault="00D37E82" w:rsidP="004F25D6">
      <w:pPr>
        <w:shd w:val="clear" w:color="auto" w:fill="FFFFFF"/>
        <w:ind w:left="0" w:right="0"/>
        <w:rPr>
          <w:rFonts w:eastAsia="Times New Roman" w:cs="Times New Roman"/>
          <w:szCs w:val="24"/>
        </w:rPr>
      </w:pPr>
    </w:p>
    <w:p w14:paraId="5E3AB8F5" w14:textId="4626E830" w:rsidR="008E2169" w:rsidRPr="00FC69E7" w:rsidRDefault="00EE3738" w:rsidP="004F25D6">
      <w:pPr>
        <w:shd w:val="clear" w:color="auto" w:fill="FFFFFF"/>
        <w:tabs>
          <w:tab w:val="left" w:pos="720"/>
        </w:tabs>
        <w:ind w:left="0" w:right="0"/>
        <w:jc w:val="both"/>
        <w:rPr>
          <w:rFonts w:eastAsia="Times New Roman" w:cs="Times New Roman"/>
          <w:szCs w:val="24"/>
        </w:rPr>
      </w:pPr>
      <w:r w:rsidRPr="00FC69E7">
        <w:rPr>
          <w:rFonts w:eastAsia="Times New Roman" w:cs="Times New Roman"/>
          <w:szCs w:val="24"/>
        </w:rPr>
        <w:tab/>
      </w:r>
      <w:r w:rsidR="00DC126E" w:rsidRPr="00FC69E7">
        <w:rPr>
          <w:rFonts w:eastAsia="Times New Roman" w:cs="Times New Roman"/>
          <w:szCs w:val="24"/>
        </w:rPr>
        <w:t xml:space="preserve">In explaining the </w:t>
      </w:r>
      <w:r w:rsidR="00EB2AFA" w:rsidRPr="00FC69E7">
        <w:rPr>
          <w:rFonts w:eastAsia="Times New Roman" w:cs="Times New Roman"/>
          <w:szCs w:val="24"/>
        </w:rPr>
        <w:t>“</w:t>
      </w:r>
      <w:r w:rsidR="00DC126E" w:rsidRPr="00FC69E7">
        <w:rPr>
          <w:rFonts w:eastAsia="Times New Roman" w:cs="Times New Roman"/>
          <w:szCs w:val="24"/>
        </w:rPr>
        <w:t>accommodation syndrome,</w:t>
      </w:r>
      <w:r w:rsidR="00EB2AFA" w:rsidRPr="00FC69E7">
        <w:rPr>
          <w:rFonts w:eastAsia="Times New Roman" w:cs="Times New Roman"/>
          <w:szCs w:val="24"/>
        </w:rPr>
        <w:t>”</w:t>
      </w:r>
      <w:r w:rsidR="00DC126E" w:rsidRPr="00FC69E7">
        <w:rPr>
          <w:rFonts w:eastAsia="Times New Roman" w:cs="Times New Roman"/>
          <w:szCs w:val="24"/>
        </w:rPr>
        <w:t xml:space="preserve"> </w:t>
      </w:r>
      <w:r w:rsidR="00144EE3" w:rsidRPr="00FC69E7">
        <w:rPr>
          <w:rFonts w:eastAsia="Times New Roman" w:cs="Times New Roman"/>
          <w:szCs w:val="24"/>
        </w:rPr>
        <w:t>the expert m</w:t>
      </w:r>
      <w:r w:rsidR="00D86B8F" w:rsidRPr="00FC69E7">
        <w:rPr>
          <w:rFonts w:eastAsia="Times New Roman" w:cs="Times New Roman"/>
          <w:szCs w:val="24"/>
        </w:rPr>
        <w:t>a</w:t>
      </w:r>
      <w:r w:rsidR="00144EE3" w:rsidRPr="00FC69E7">
        <w:rPr>
          <w:rFonts w:eastAsia="Times New Roman" w:cs="Times New Roman"/>
          <w:szCs w:val="24"/>
        </w:rPr>
        <w:t xml:space="preserve">y give </w:t>
      </w:r>
      <w:r w:rsidR="00EB2AFA" w:rsidRPr="00FC69E7">
        <w:rPr>
          <w:rFonts w:eastAsia="Times New Roman" w:cs="Times New Roman"/>
          <w:szCs w:val="24"/>
        </w:rPr>
        <w:t>“</w:t>
      </w:r>
      <w:r w:rsidR="00D37E82" w:rsidRPr="00FC69E7">
        <w:rPr>
          <w:rFonts w:eastAsia="Times New Roman" w:cs="Times New Roman"/>
          <w:szCs w:val="24"/>
        </w:rPr>
        <w:t>testimony concerning abusers</w:t>
      </w:r>
      <w:r w:rsidR="00EB2AFA" w:rsidRPr="00FC69E7">
        <w:rPr>
          <w:rFonts w:eastAsia="Times New Roman" w:cs="Times New Roman"/>
          <w:szCs w:val="24"/>
        </w:rPr>
        <w:t>’</w:t>
      </w:r>
      <w:r w:rsidR="00D37E82" w:rsidRPr="00FC69E7">
        <w:rPr>
          <w:rFonts w:eastAsia="Times New Roman" w:cs="Times New Roman"/>
          <w:szCs w:val="24"/>
        </w:rPr>
        <w:t xml:space="preserve"> behavior</w:t>
      </w:r>
      <w:r w:rsidR="00EB2AFA" w:rsidRPr="00FC69E7">
        <w:rPr>
          <w:rFonts w:eastAsia="Times New Roman" w:cs="Times New Roman"/>
          <w:szCs w:val="24"/>
        </w:rPr>
        <w:t>”</w:t>
      </w:r>
      <w:r w:rsidR="00D37E82" w:rsidRPr="00FC69E7">
        <w:rPr>
          <w:rFonts w:eastAsia="Times New Roman" w:cs="Times New Roman"/>
          <w:szCs w:val="24"/>
        </w:rPr>
        <w:t xml:space="preserve"> that </w:t>
      </w:r>
      <w:r w:rsidR="00BA3CC5" w:rsidRPr="00FC69E7">
        <w:rPr>
          <w:rFonts w:eastAsia="Times New Roman" w:cs="Times New Roman"/>
          <w:szCs w:val="24"/>
        </w:rPr>
        <w:t>is</w:t>
      </w:r>
      <w:r w:rsidR="00D37E82" w:rsidRPr="00FC69E7">
        <w:rPr>
          <w:rFonts w:eastAsia="Times New Roman" w:cs="Times New Roman"/>
          <w:szCs w:val="24"/>
        </w:rPr>
        <w:t xml:space="preserve"> relevant to explain the syndrome</w:t>
      </w:r>
      <w:r w:rsidR="004D2C33" w:rsidRPr="00FC69E7">
        <w:rPr>
          <w:rFonts w:eastAsia="Times New Roman" w:cs="Times New Roman"/>
          <w:szCs w:val="24"/>
        </w:rPr>
        <w:t xml:space="preserve">.  </w:t>
      </w:r>
      <w:r w:rsidR="00CE263F" w:rsidRPr="00FC69E7">
        <w:rPr>
          <w:rFonts w:eastAsia="Times New Roman" w:cs="Times New Roman"/>
          <w:szCs w:val="24"/>
        </w:rPr>
        <w:t>(</w:t>
      </w:r>
      <w:r w:rsidR="00CE263F" w:rsidRPr="00FC69E7">
        <w:rPr>
          <w:rFonts w:eastAsia="Times New Roman" w:cs="Times New Roman"/>
          <w:i/>
          <w:iCs/>
          <w:szCs w:val="24"/>
        </w:rPr>
        <w:t>Williams</w:t>
      </w:r>
      <w:r w:rsidR="00CE263F" w:rsidRPr="00FC69E7">
        <w:rPr>
          <w:rFonts w:eastAsia="Times New Roman" w:cs="Times New Roman"/>
          <w:szCs w:val="24"/>
        </w:rPr>
        <w:t xml:space="preserve"> at </w:t>
      </w:r>
      <w:r w:rsidR="00F71DE9" w:rsidRPr="00FC69E7">
        <w:rPr>
          <w:rFonts w:eastAsia="Times New Roman" w:cs="Times New Roman"/>
          <w:szCs w:val="24"/>
        </w:rPr>
        <w:t>584</w:t>
      </w:r>
      <w:r w:rsidR="008E2169" w:rsidRPr="00FC69E7">
        <w:rPr>
          <w:rFonts w:eastAsia="Times New Roman" w:cs="Times New Roman"/>
          <w:szCs w:val="24"/>
        </w:rPr>
        <w:t xml:space="preserve"> [</w:t>
      </w:r>
      <w:r w:rsidR="00EB2AFA" w:rsidRPr="00FC69E7">
        <w:rPr>
          <w:rFonts w:eastAsia="Times New Roman" w:cs="Times New Roman"/>
          <w:szCs w:val="24"/>
        </w:rPr>
        <w:t>“</w:t>
      </w:r>
      <w:r w:rsidR="008E2169" w:rsidRPr="00FC69E7">
        <w:rPr>
          <w:rFonts w:eastAsia="Times New Roman" w:cs="Times New Roman"/>
          <w:szCs w:val="24"/>
        </w:rPr>
        <w:t>That testimony assisted in explaining victims</w:t>
      </w:r>
      <w:r w:rsidR="00EB2AFA" w:rsidRPr="00FC69E7">
        <w:rPr>
          <w:rFonts w:eastAsia="Times New Roman" w:cs="Times New Roman"/>
          <w:szCs w:val="24"/>
        </w:rPr>
        <w:t>’</w:t>
      </w:r>
      <w:r w:rsidR="008E2169" w:rsidRPr="00FC69E7">
        <w:rPr>
          <w:rFonts w:eastAsia="Times New Roman" w:cs="Times New Roman"/>
          <w:szCs w:val="24"/>
        </w:rPr>
        <w:t xml:space="preserve"> subsequent behavior that the factfinder might not understand, such as why victims may accommodate abusers and why they wait before disclosing the abuse</w:t>
      </w:r>
      <w:r w:rsidR="00EB2AFA" w:rsidRPr="00FC69E7">
        <w:rPr>
          <w:rFonts w:eastAsia="Times New Roman" w:cs="Times New Roman"/>
          <w:szCs w:val="24"/>
        </w:rPr>
        <w:t>”</w:t>
      </w:r>
      <w:r w:rsidR="00DC7B01" w:rsidRPr="00FC69E7">
        <w:rPr>
          <w:rFonts w:eastAsia="Times New Roman" w:cs="Times New Roman"/>
          <w:szCs w:val="24"/>
        </w:rPr>
        <w:t>]</w:t>
      </w:r>
      <w:r w:rsidR="0068796C" w:rsidRPr="00FC69E7">
        <w:rPr>
          <w:rFonts w:eastAsia="Times New Roman" w:cs="Times New Roman"/>
          <w:szCs w:val="24"/>
        </w:rPr>
        <w:t>.</w:t>
      </w:r>
      <w:r w:rsidR="00DC7B01" w:rsidRPr="00FC69E7">
        <w:rPr>
          <w:rFonts w:eastAsia="Times New Roman" w:cs="Times New Roman"/>
          <w:szCs w:val="24"/>
        </w:rPr>
        <w:t>)</w:t>
      </w:r>
    </w:p>
    <w:p w14:paraId="341BE128" w14:textId="77777777" w:rsidR="00CE263F" w:rsidRPr="00FC69E7" w:rsidRDefault="00CE263F" w:rsidP="004F25D6">
      <w:pPr>
        <w:shd w:val="clear" w:color="auto" w:fill="FFFFFF"/>
        <w:ind w:left="0" w:right="0"/>
        <w:rPr>
          <w:rFonts w:eastAsia="Times New Roman" w:cs="Times New Roman"/>
          <w:szCs w:val="24"/>
        </w:rPr>
      </w:pPr>
    </w:p>
    <w:bookmarkEnd w:id="5"/>
    <w:p w14:paraId="58012417" w14:textId="33297AE7" w:rsidR="000B5DD6" w:rsidRPr="00FC69E7" w:rsidRDefault="00EE3738" w:rsidP="004F25D6">
      <w:pPr>
        <w:shd w:val="clear" w:color="auto" w:fill="FFFFFF"/>
        <w:tabs>
          <w:tab w:val="left" w:pos="720"/>
        </w:tabs>
        <w:ind w:left="0" w:right="0"/>
        <w:jc w:val="both"/>
        <w:rPr>
          <w:rFonts w:cs="Times New Roman"/>
          <w:szCs w:val="24"/>
        </w:rPr>
      </w:pPr>
      <w:r w:rsidRPr="00FC69E7">
        <w:rPr>
          <w:rFonts w:cs="Times New Roman"/>
          <w:b/>
          <w:bCs/>
          <w:szCs w:val="24"/>
        </w:rPr>
        <w:tab/>
      </w:r>
      <w:r w:rsidR="009010C6" w:rsidRPr="00FC69E7">
        <w:rPr>
          <w:rFonts w:cs="Times New Roman"/>
          <w:b/>
          <w:bCs/>
          <w:szCs w:val="24"/>
        </w:rPr>
        <w:t>Subdivision (3)</w:t>
      </w:r>
      <w:r w:rsidR="003466AB" w:rsidRPr="00FC69E7">
        <w:rPr>
          <w:rFonts w:cs="Times New Roman"/>
          <w:szCs w:val="24"/>
        </w:rPr>
        <w:t xml:space="preserve"> is at the core of the admissibility of</w:t>
      </w:r>
      <w:r w:rsidR="00DC3382" w:rsidRPr="00FC69E7">
        <w:rPr>
          <w:rFonts w:cs="Times New Roman"/>
          <w:szCs w:val="24"/>
        </w:rPr>
        <w:t xml:space="preserve"> syndrome evidence</w:t>
      </w:r>
      <w:r w:rsidR="003F1B2C" w:rsidRPr="00FC69E7">
        <w:rPr>
          <w:rFonts w:cs="Times New Roman"/>
          <w:szCs w:val="24"/>
        </w:rPr>
        <w:t xml:space="preserve"> when it states</w:t>
      </w:r>
      <w:r w:rsidR="00B2559B" w:rsidRPr="00FC69E7">
        <w:rPr>
          <w:rFonts w:cs="Times New Roman"/>
          <w:szCs w:val="24"/>
        </w:rPr>
        <w:t xml:space="preserve"> that</w:t>
      </w:r>
      <w:r w:rsidR="003F1B2C" w:rsidRPr="00FC69E7">
        <w:rPr>
          <w:rFonts w:cs="Times New Roman"/>
          <w:szCs w:val="24"/>
        </w:rPr>
        <w:t xml:space="preserve">: </w:t>
      </w:r>
      <w:r w:rsidR="00FB2F92" w:rsidRPr="00FC69E7">
        <w:rPr>
          <w:rFonts w:cs="Times New Roman"/>
          <w:szCs w:val="24"/>
        </w:rPr>
        <w:t>“</w:t>
      </w:r>
      <w:r w:rsidR="00586D0F" w:rsidRPr="00FC69E7">
        <w:rPr>
          <w:rFonts w:cs="Times New Roman"/>
          <w:szCs w:val="24"/>
        </w:rPr>
        <w:t>An expert may not testify that the child should be believed, or that the conduct at issue in the case constituted abuse; the expert may describe the relevant general behavior patterns of an abused child that might be beyond the ken of the average juror.</w:t>
      </w:r>
      <w:r w:rsidR="00FB2F92" w:rsidRPr="00FC69E7">
        <w:rPr>
          <w:rFonts w:cs="Times New Roman"/>
          <w:szCs w:val="24"/>
        </w:rPr>
        <w:t xml:space="preserve">” </w:t>
      </w:r>
      <w:r w:rsidR="00377A57" w:rsidRPr="00FC69E7">
        <w:rPr>
          <w:rFonts w:cs="Times New Roman"/>
          <w:szCs w:val="24"/>
        </w:rPr>
        <w:t>(</w:t>
      </w:r>
      <w:r w:rsidR="001B17A0" w:rsidRPr="00FC69E7">
        <w:rPr>
          <w:rFonts w:cs="Times New Roman"/>
          <w:i/>
          <w:iCs/>
          <w:szCs w:val="24"/>
        </w:rPr>
        <w:t>See</w:t>
      </w:r>
      <w:r w:rsidR="009E3AA7" w:rsidRPr="00FC69E7">
        <w:rPr>
          <w:rFonts w:cs="Times New Roman"/>
          <w:i/>
          <w:iCs/>
          <w:szCs w:val="24"/>
        </w:rPr>
        <w:t xml:space="preserve"> </w:t>
      </w:r>
      <w:r w:rsidR="001B17A0" w:rsidRPr="00FC69E7">
        <w:rPr>
          <w:rFonts w:cs="Times New Roman"/>
          <w:i/>
          <w:iCs/>
          <w:szCs w:val="24"/>
        </w:rPr>
        <w:t>Carroll</w:t>
      </w:r>
      <w:r w:rsidR="001B17A0" w:rsidRPr="00FC69E7">
        <w:rPr>
          <w:rFonts w:cs="Times New Roman"/>
          <w:szCs w:val="24"/>
        </w:rPr>
        <w:t xml:space="preserve"> at </w:t>
      </w:r>
      <w:r w:rsidR="00B74C2A" w:rsidRPr="00FC69E7">
        <w:rPr>
          <w:rFonts w:cs="Times New Roman"/>
          <w:szCs w:val="24"/>
        </w:rPr>
        <w:t>3</w:t>
      </w:r>
      <w:r w:rsidR="009B7FEA" w:rsidRPr="00FC69E7">
        <w:rPr>
          <w:rFonts w:cs="Times New Roman"/>
          <w:szCs w:val="24"/>
        </w:rPr>
        <w:t>87</w:t>
      </w:r>
      <w:r w:rsidR="001B17A0" w:rsidRPr="00FC69E7">
        <w:rPr>
          <w:rFonts w:cs="Times New Roman"/>
          <w:szCs w:val="24"/>
        </w:rPr>
        <w:t xml:space="preserve"> </w:t>
      </w:r>
      <w:r w:rsidR="00ED61D9" w:rsidRPr="00FC69E7">
        <w:rPr>
          <w:rFonts w:cs="Times New Roman"/>
          <w:szCs w:val="24"/>
        </w:rPr>
        <w:t>[</w:t>
      </w:r>
      <w:r w:rsidR="001B17A0" w:rsidRPr="00FC69E7">
        <w:rPr>
          <w:rFonts w:cs="Times New Roman"/>
          <w:szCs w:val="24"/>
        </w:rPr>
        <w:t xml:space="preserve">the expert testimony </w:t>
      </w:r>
      <w:r w:rsidR="00EB2AFA" w:rsidRPr="00FC69E7">
        <w:rPr>
          <w:rFonts w:cs="Times New Roman"/>
          <w:szCs w:val="24"/>
        </w:rPr>
        <w:t>“</w:t>
      </w:r>
      <w:r w:rsidR="009010C6" w:rsidRPr="00FC69E7">
        <w:rPr>
          <w:rFonts w:cs="Times New Roman"/>
          <w:szCs w:val="24"/>
        </w:rPr>
        <w:t>did not attempt to impermissibly prove that the charged crimes occurred</w:t>
      </w:r>
      <w:r w:rsidR="00EB2AFA" w:rsidRPr="00FC69E7">
        <w:rPr>
          <w:rFonts w:cs="Times New Roman"/>
          <w:szCs w:val="24"/>
        </w:rPr>
        <w:t>”</w:t>
      </w:r>
      <w:r w:rsidR="00984BB0" w:rsidRPr="00FC69E7">
        <w:rPr>
          <w:rFonts w:cs="Times New Roman"/>
          <w:szCs w:val="24"/>
        </w:rPr>
        <w:t>]</w:t>
      </w:r>
      <w:r w:rsidR="00ED61D9" w:rsidRPr="00FC69E7">
        <w:rPr>
          <w:rFonts w:cs="Times New Roman"/>
          <w:szCs w:val="24"/>
        </w:rPr>
        <w:t xml:space="preserve">; </w:t>
      </w:r>
      <w:r w:rsidR="00ED61D9" w:rsidRPr="00FC69E7">
        <w:rPr>
          <w:rFonts w:cs="Times New Roman"/>
          <w:i/>
          <w:iCs/>
          <w:szCs w:val="24"/>
        </w:rPr>
        <w:t>Spicola</w:t>
      </w:r>
      <w:r w:rsidR="00ED61D9" w:rsidRPr="00FC69E7">
        <w:rPr>
          <w:rFonts w:cs="Times New Roman"/>
          <w:szCs w:val="24"/>
        </w:rPr>
        <w:t xml:space="preserve"> at</w:t>
      </w:r>
      <w:r w:rsidR="009B7FEA" w:rsidRPr="00FC69E7">
        <w:rPr>
          <w:rFonts w:cs="Times New Roman"/>
          <w:szCs w:val="24"/>
        </w:rPr>
        <w:t xml:space="preserve"> </w:t>
      </w:r>
      <w:r w:rsidR="00050AF0" w:rsidRPr="00FC69E7">
        <w:rPr>
          <w:rFonts w:cs="Times New Roman"/>
          <w:szCs w:val="24"/>
        </w:rPr>
        <w:t>465</w:t>
      </w:r>
      <w:r w:rsidR="00ED61D9" w:rsidRPr="00FC69E7">
        <w:rPr>
          <w:rFonts w:cs="Times New Roman"/>
          <w:szCs w:val="24"/>
        </w:rPr>
        <w:t xml:space="preserve"> [the expert </w:t>
      </w:r>
      <w:r w:rsidR="00EB2AFA" w:rsidRPr="00FC69E7">
        <w:rPr>
          <w:rFonts w:cs="Times New Roman"/>
          <w:szCs w:val="24"/>
        </w:rPr>
        <w:t>“</w:t>
      </w:r>
      <w:r w:rsidR="00ED61D9" w:rsidRPr="00FC69E7">
        <w:rPr>
          <w:rFonts w:cs="Times New Roman"/>
          <w:szCs w:val="24"/>
        </w:rPr>
        <w:t>c</w:t>
      </w:r>
      <w:r w:rsidR="00710A05" w:rsidRPr="00FC69E7">
        <w:rPr>
          <w:rFonts w:cs="Times New Roman"/>
          <w:szCs w:val="24"/>
        </w:rPr>
        <w:t>onfirmed that the presence or absence of any particular behavior was not substantive evidence that sexual abuse had, or had not, occurred</w:t>
      </w:r>
      <w:r w:rsidR="004D2C33" w:rsidRPr="00FC69E7">
        <w:rPr>
          <w:rFonts w:cs="Times New Roman"/>
          <w:szCs w:val="24"/>
        </w:rPr>
        <w:t xml:space="preserve">.  </w:t>
      </w:r>
      <w:r w:rsidR="00710A05" w:rsidRPr="00FC69E7">
        <w:rPr>
          <w:rFonts w:cs="Times New Roman"/>
          <w:szCs w:val="24"/>
        </w:rPr>
        <w:t>He made it clear that he knew nothing about the facts of the case before taking the witness stand; that he was not venturing an opinion as to whether sexual abuse took place in this case; that it was up to the jury to decide whether the boy was being truthful</w:t>
      </w:r>
      <w:r w:rsidR="00EB2AFA" w:rsidRPr="00FC69E7">
        <w:rPr>
          <w:rFonts w:cs="Times New Roman"/>
          <w:szCs w:val="24"/>
        </w:rPr>
        <w:t>”</w:t>
      </w:r>
      <w:r w:rsidR="000333FC" w:rsidRPr="00FC69E7">
        <w:rPr>
          <w:rFonts w:cs="Times New Roman"/>
          <w:szCs w:val="24"/>
        </w:rPr>
        <w:t xml:space="preserve">]; </w:t>
      </w:r>
      <w:r w:rsidR="009E3AA7" w:rsidRPr="00FC69E7">
        <w:rPr>
          <w:rFonts w:eastAsia="Times New Roman" w:cs="Times New Roman"/>
          <w:i/>
          <w:iCs/>
          <w:szCs w:val="24"/>
        </w:rPr>
        <w:t>People v Williams</w:t>
      </w:r>
      <w:r w:rsidR="009E3AA7" w:rsidRPr="00FC69E7">
        <w:rPr>
          <w:rFonts w:eastAsia="Times New Roman" w:cs="Times New Roman"/>
          <w:szCs w:val="24"/>
        </w:rPr>
        <w:t>, 20 NY3d 579, 584 [2013] [</w:t>
      </w:r>
      <w:r w:rsidR="00EB2AFA" w:rsidRPr="00FC69E7">
        <w:rPr>
          <w:rFonts w:eastAsia="Times New Roman" w:cs="Times New Roman"/>
          <w:szCs w:val="24"/>
        </w:rPr>
        <w:t>“</w:t>
      </w:r>
      <w:r w:rsidR="009E3AA7" w:rsidRPr="00FC69E7">
        <w:rPr>
          <w:rFonts w:eastAsia="Times New Roman" w:cs="Times New Roman"/>
          <w:szCs w:val="24"/>
        </w:rPr>
        <w:t>the expert</w:t>
      </w:r>
      <w:r w:rsidR="00EB2AFA" w:rsidRPr="00FC69E7">
        <w:rPr>
          <w:rFonts w:eastAsia="Times New Roman" w:cs="Times New Roman"/>
          <w:szCs w:val="24"/>
        </w:rPr>
        <w:t>’</w:t>
      </w:r>
      <w:r w:rsidR="009E3AA7" w:rsidRPr="00FC69E7">
        <w:rPr>
          <w:rFonts w:eastAsia="Times New Roman" w:cs="Times New Roman"/>
          <w:szCs w:val="24"/>
        </w:rPr>
        <w:t>s testimony exceeded permissible bounds when the prosecutor tailored the hypothetical questions to include facts concerning the abuse that occurred in this particular case</w:t>
      </w:r>
      <w:r w:rsidR="004D2C33" w:rsidRPr="00FC69E7">
        <w:rPr>
          <w:rFonts w:eastAsia="Times New Roman" w:cs="Times New Roman"/>
          <w:szCs w:val="24"/>
        </w:rPr>
        <w:t xml:space="preserve">.  </w:t>
      </w:r>
      <w:r w:rsidR="009E3AA7" w:rsidRPr="00FC69E7">
        <w:rPr>
          <w:rFonts w:eastAsia="Times New Roman" w:cs="Times New Roman"/>
          <w:szCs w:val="24"/>
        </w:rPr>
        <w:t>Such testimony went beyond explaining victim behavior that might be beyond the ken of a jury, and had the prejudicial effect of implying that the expert found the testimony of this particular complainant to be credible—even though the witness began his testimony claiming no knowledge of the case before the court</w:t>
      </w:r>
      <w:r w:rsidR="00EB2AFA" w:rsidRPr="00FC69E7">
        <w:rPr>
          <w:rFonts w:eastAsia="Times New Roman" w:cs="Times New Roman"/>
          <w:szCs w:val="24"/>
        </w:rPr>
        <w:t>”</w:t>
      </w:r>
      <w:r w:rsidR="009E3AA7" w:rsidRPr="00FC69E7">
        <w:rPr>
          <w:rFonts w:eastAsia="Times New Roman" w:cs="Times New Roman"/>
          <w:szCs w:val="24"/>
        </w:rPr>
        <w:t xml:space="preserve">]; </w:t>
      </w:r>
      <w:r w:rsidR="009A0514" w:rsidRPr="00FC69E7">
        <w:rPr>
          <w:rFonts w:cs="Times New Roman"/>
          <w:i/>
          <w:iCs/>
          <w:szCs w:val="24"/>
        </w:rPr>
        <w:t>People v Duell</w:t>
      </w:r>
      <w:r w:rsidR="009A0514" w:rsidRPr="00FC69E7">
        <w:rPr>
          <w:rFonts w:cs="Times New Roman"/>
          <w:szCs w:val="24"/>
        </w:rPr>
        <w:t>, 124 AD3d 1225, 1229 [4th Dept 2015]</w:t>
      </w:r>
      <w:r w:rsidR="000333FC" w:rsidRPr="00FC69E7">
        <w:rPr>
          <w:rFonts w:cs="Times New Roman"/>
          <w:szCs w:val="24"/>
        </w:rPr>
        <w:t xml:space="preserve"> [the </w:t>
      </w:r>
      <w:r w:rsidR="00EB2AFA" w:rsidRPr="00FC69E7">
        <w:rPr>
          <w:rFonts w:cs="Times New Roman"/>
          <w:szCs w:val="24"/>
        </w:rPr>
        <w:t>“</w:t>
      </w:r>
      <w:r w:rsidR="009A0514" w:rsidRPr="00FC69E7">
        <w:rPr>
          <w:rFonts w:cs="Times New Roman"/>
          <w:szCs w:val="24"/>
        </w:rPr>
        <w:t>expert never opined that defendant committed the crimes; that the victim was, in fact, sexually abused; or that the victim</w:t>
      </w:r>
      <w:r w:rsidR="00EB2AFA" w:rsidRPr="00FC69E7">
        <w:rPr>
          <w:rFonts w:cs="Times New Roman"/>
          <w:szCs w:val="24"/>
        </w:rPr>
        <w:t>’</w:t>
      </w:r>
      <w:r w:rsidR="009A0514" w:rsidRPr="00FC69E7">
        <w:rPr>
          <w:rFonts w:cs="Times New Roman"/>
          <w:szCs w:val="24"/>
        </w:rPr>
        <w:t>s behavior was consistent with such abuse</w:t>
      </w:r>
      <w:r w:rsidR="00EB2AFA" w:rsidRPr="00FC69E7">
        <w:rPr>
          <w:rFonts w:cs="Times New Roman"/>
          <w:szCs w:val="24"/>
        </w:rPr>
        <w:t>”</w:t>
      </w:r>
      <w:r w:rsidR="00C05F0E" w:rsidRPr="00FC69E7">
        <w:rPr>
          <w:rFonts w:cs="Times New Roman"/>
          <w:szCs w:val="24"/>
        </w:rPr>
        <w:t>].</w:t>
      </w:r>
      <w:r w:rsidR="001A6D84" w:rsidRPr="00FC69E7">
        <w:rPr>
          <w:rFonts w:cs="Times New Roman"/>
          <w:szCs w:val="24"/>
        </w:rPr>
        <w:t>)</w:t>
      </w:r>
    </w:p>
    <w:p w14:paraId="7D348428" w14:textId="62BEDC41" w:rsidR="00832059" w:rsidRPr="00FC69E7" w:rsidRDefault="00832059" w:rsidP="004F25D6">
      <w:pPr>
        <w:shd w:val="clear" w:color="auto" w:fill="FFFFFF"/>
        <w:ind w:left="0" w:right="0"/>
        <w:jc w:val="both"/>
        <w:rPr>
          <w:rFonts w:cs="Times New Roman"/>
          <w:szCs w:val="24"/>
        </w:rPr>
      </w:pPr>
    </w:p>
    <w:p w14:paraId="7FCDE1D9" w14:textId="4E456B48" w:rsidR="00224021" w:rsidRPr="00FC69E7" w:rsidRDefault="00EE3738" w:rsidP="004F25D6">
      <w:pPr>
        <w:shd w:val="clear" w:color="auto" w:fill="FFFFFF"/>
        <w:tabs>
          <w:tab w:val="left" w:pos="720"/>
        </w:tabs>
        <w:ind w:left="0" w:right="0"/>
        <w:jc w:val="both"/>
        <w:rPr>
          <w:rFonts w:cs="Times New Roman"/>
          <w:szCs w:val="24"/>
        </w:rPr>
      </w:pPr>
      <w:bookmarkStart w:id="6" w:name="_Hlk88557044"/>
      <w:r w:rsidRPr="00FC69E7">
        <w:rPr>
          <w:rFonts w:cs="Times New Roman"/>
          <w:szCs w:val="24"/>
        </w:rPr>
        <w:lastRenderedPageBreak/>
        <w:tab/>
      </w:r>
      <w:r w:rsidR="00832059" w:rsidRPr="00FC69E7">
        <w:rPr>
          <w:rFonts w:cs="Times New Roman"/>
          <w:szCs w:val="24"/>
        </w:rPr>
        <w:t xml:space="preserve">While it is not permissible </w:t>
      </w:r>
      <w:r w:rsidR="00B646E8" w:rsidRPr="00FC69E7">
        <w:rPr>
          <w:rFonts w:cs="Times New Roman"/>
          <w:szCs w:val="24"/>
        </w:rPr>
        <w:t>to permit the expert</w:t>
      </w:r>
      <w:r w:rsidR="00163F19" w:rsidRPr="00FC69E7">
        <w:rPr>
          <w:rFonts w:cs="Times New Roman"/>
          <w:szCs w:val="24"/>
        </w:rPr>
        <w:t xml:space="preserve"> testimony solely</w:t>
      </w:r>
      <w:r w:rsidR="00B646E8" w:rsidRPr="00FC69E7">
        <w:rPr>
          <w:rFonts w:cs="Times New Roman"/>
          <w:szCs w:val="24"/>
        </w:rPr>
        <w:t xml:space="preserve"> to bolster </w:t>
      </w:r>
      <w:r w:rsidR="00300ECB" w:rsidRPr="00FC69E7">
        <w:rPr>
          <w:rFonts w:cs="Times New Roman"/>
          <w:szCs w:val="24"/>
        </w:rPr>
        <w:t xml:space="preserve">the </w:t>
      </w:r>
      <w:r w:rsidR="003914C1" w:rsidRPr="00FC69E7">
        <w:rPr>
          <w:rFonts w:cs="Times New Roman"/>
          <w:szCs w:val="24"/>
        </w:rPr>
        <w:t xml:space="preserve">complainant’s </w:t>
      </w:r>
      <w:r w:rsidR="00300ECB" w:rsidRPr="00FC69E7">
        <w:rPr>
          <w:rFonts w:cs="Times New Roman"/>
          <w:szCs w:val="24"/>
        </w:rPr>
        <w:t>credibility, particularly by testimony that the expert credits the complainant</w:t>
      </w:r>
      <w:r w:rsidR="00805C44" w:rsidRPr="00FC69E7">
        <w:rPr>
          <w:rFonts w:cs="Times New Roman"/>
          <w:szCs w:val="24"/>
        </w:rPr>
        <w:t xml:space="preserve"> </w:t>
      </w:r>
      <w:r w:rsidR="00DE0429" w:rsidRPr="00FC69E7">
        <w:rPr>
          <w:rFonts w:cs="Times New Roman"/>
          <w:szCs w:val="24"/>
        </w:rPr>
        <w:t>(</w:t>
      </w:r>
      <w:r w:rsidR="00805C44" w:rsidRPr="00FC69E7">
        <w:rPr>
          <w:rFonts w:eastAsia="Times New Roman" w:cs="Times New Roman"/>
          <w:i/>
          <w:iCs/>
          <w:szCs w:val="24"/>
        </w:rPr>
        <w:t xml:space="preserve">Williams </w:t>
      </w:r>
      <w:r w:rsidR="00805C44" w:rsidRPr="00FC69E7">
        <w:rPr>
          <w:rFonts w:eastAsia="Times New Roman" w:cs="Times New Roman"/>
          <w:szCs w:val="24"/>
        </w:rPr>
        <w:t>at</w:t>
      </w:r>
      <w:r w:rsidR="00805C44" w:rsidRPr="00FC69E7">
        <w:rPr>
          <w:rFonts w:eastAsia="Times New Roman" w:cs="Times New Roman"/>
          <w:i/>
          <w:iCs/>
          <w:szCs w:val="24"/>
        </w:rPr>
        <w:t xml:space="preserve"> </w:t>
      </w:r>
      <w:r w:rsidR="00805C44" w:rsidRPr="00FC69E7">
        <w:rPr>
          <w:rFonts w:eastAsia="Times New Roman" w:cs="Times New Roman"/>
          <w:szCs w:val="24"/>
        </w:rPr>
        <w:t>584</w:t>
      </w:r>
      <w:r w:rsidR="00DE0429" w:rsidRPr="00FC69E7">
        <w:rPr>
          <w:rFonts w:eastAsia="Times New Roman" w:cs="Times New Roman"/>
          <w:szCs w:val="24"/>
        </w:rPr>
        <w:t>)</w:t>
      </w:r>
      <w:r w:rsidR="00300ECB" w:rsidRPr="00FC69E7">
        <w:rPr>
          <w:rFonts w:cs="Times New Roman"/>
          <w:szCs w:val="24"/>
        </w:rPr>
        <w:t xml:space="preserve">, </w:t>
      </w:r>
      <w:r w:rsidR="003319D6" w:rsidRPr="00FC69E7">
        <w:rPr>
          <w:rFonts w:cs="Times New Roman"/>
          <w:szCs w:val="24"/>
        </w:rPr>
        <w:t>CSAS</w:t>
      </w:r>
      <w:r w:rsidR="00845F7D" w:rsidRPr="00FC69E7">
        <w:rPr>
          <w:rFonts w:cs="Times New Roman"/>
          <w:szCs w:val="24"/>
        </w:rPr>
        <w:t xml:space="preserve"> is admissible </w:t>
      </w:r>
      <w:r w:rsidR="00B72F4F" w:rsidRPr="00FC69E7">
        <w:rPr>
          <w:rFonts w:cs="Times New Roman"/>
          <w:szCs w:val="24"/>
        </w:rPr>
        <w:t xml:space="preserve">to counter an inference </w:t>
      </w:r>
      <w:r w:rsidR="00D534CB" w:rsidRPr="00FC69E7">
        <w:rPr>
          <w:rFonts w:cs="Times New Roman"/>
          <w:szCs w:val="24"/>
        </w:rPr>
        <w:t>from the complainant</w:t>
      </w:r>
      <w:r w:rsidR="00EB2AFA" w:rsidRPr="00FC69E7">
        <w:rPr>
          <w:rFonts w:cs="Times New Roman"/>
          <w:szCs w:val="24"/>
        </w:rPr>
        <w:t>’</w:t>
      </w:r>
      <w:r w:rsidR="00D534CB" w:rsidRPr="00FC69E7">
        <w:rPr>
          <w:rFonts w:cs="Times New Roman"/>
          <w:szCs w:val="24"/>
        </w:rPr>
        <w:t xml:space="preserve">s </w:t>
      </w:r>
      <w:r w:rsidR="004207D5" w:rsidRPr="00FC69E7">
        <w:rPr>
          <w:rFonts w:cs="Times New Roman"/>
          <w:szCs w:val="24"/>
        </w:rPr>
        <w:t xml:space="preserve">behavior </w:t>
      </w:r>
      <w:r w:rsidR="00B72F4F" w:rsidRPr="00FC69E7">
        <w:rPr>
          <w:rFonts w:cs="Times New Roman"/>
          <w:szCs w:val="24"/>
        </w:rPr>
        <w:t xml:space="preserve">that the </w:t>
      </w:r>
      <w:r w:rsidR="004207D5" w:rsidRPr="00FC69E7">
        <w:rPr>
          <w:rFonts w:cs="Times New Roman"/>
          <w:szCs w:val="24"/>
        </w:rPr>
        <w:t xml:space="preserve">complainant </w:t>
      </w:r>
      <w:r w:rsidR="00EB2AFA" w:rsidRPr="00FC69E7">
        <w:rPr>
          <w:rFonts w:cs="Times New Roman"/>
          <w:szCs w:val="24"/>
        </w:rPr>
        <w:t>“</w:t>
      </w:r>
      <w:r w:rsidR="00B72F4F" w:rsidRPr="00FC69E7">
        <w:rPr>
          <w:rFonts w:cs="Times New Roman"/>
          <w:szCs w:val="24"/>
        </w:rPr>
        <w:t>is not credible.</w:t>
      </w:r>
      <w:r w:rsidR="00EB2AFA" w:rsidRPr="00FC69E7">
        <w:rPr>
          <w:rFonts w:cs="Times New Roman"/>
          <w:szCs w:val="24"/>
        </w:rPr>
        <w:t>”</w:t>
      </w:r>
      <w:r w:rsidR="00B72F4F" w:rsidRPr="00FC69E7">
        <w:rPr>
          <w:rFonts w:cs="Times New Roman"/>
          <w:szCs w:val="24"/>
        </w:rPr>
        <w:t xml:space="preserve"> </w:t>
      </w:r>
      <w:r w:rsidR="00D178FA" w:rsidRPr="00FC69E7">
        <w:rPr>
          <w:rFonts w:cs="Times New Roman"/>
          <w:szCs w:val="24"/>
        </w:rPr>
        <w:t>(</w:t>
      </w:r>
      <w:r w:rsidR="00B72F4F" w:rsidRPr="00FC69E7">
        <w:rPr>
          <w:rFonts w:eastAsia="Times New Roman" w:cs="Times New Roman"/>
          <w:i/>
          <w:iCs/>
          <w:szCs w:val="24"/>
        </w:rPr>
        <w:t>Nicholson</w:t>
      </w:r>
      <w:r w:rsidR="005F66B5" w:rsidRPr="00FC69E7">
        <w:rPr>
          <w:rFonts w:eastAsia="Times New Roman" w:cs="Times New Roman"/>
          <w:szCs w:val="24"/>
        </w:rPr>
        <w:t xml:space="preserve"> at 828</w:t>
      </w:r>
      <w:r w:rsidR="00304C2E" w:rsidRPr="00FC69E7">
        <w:rPr>
          <w:rFonts w:eastAsia="Times New Roman" w:cs="Times New Roman"/>
          <w:szCs w:val="24"/>
        </w:rPr>
        <w:t>.</w:t>
      </w:r>
      <w:r w:rsidR="00D178FA" w:rsidRPr="00FC69E7">
        <w:rPr>
          <w:rFonts w:eastAsia="Times New Roman" w:cs="Times New Roman"/>
          <w:szCs w:val="24"/>
        </w:rPr>
        <w:t>)</w:t>
      </w:r>
      <w:r w:rsidR="00FE690E" w:rsidRPr="00FC69E7">
        <w:rPr>
          <w:rFonts w:eastAsia="Times New Roman" w:cs="Times New Roman"/>
          <w:szCs w:val="24"/>
        </w:rPr>
        <w:t xml:space="preserve"> </w:t>
      </w:r>
      <w:r w:rsidR="00C72FD8" w:rsidRPr="00FC69E7">
        <w:rPr>
          <w:rFonts w:eastAsia="Times New Roman" w:cs="Times New Roman"/>
          <w:szCs w:val="24"/>
        </w:rPr>
        <w:t xml:space="preserve">For example, in </w:t>
      </w:r>
      <w:r w:rsidR="00C72FD8" w:rsidRPr="00FC69E7">
        <w:rPr>
          <w:rFonts w:eastAsia="Times New Roman" w:cs="Times New Roman"/>
          <w:i/>
          <w:iCs/>
          <w:szCs w:val="24"/>
        </w:rPr>
        <w:t>Nicholson</w:t>
      </w:r>
      <w:r w:rsidR="00C72FD8" w:rsidRPr="00FC69E7">
        <w:rPr>
          <w:rFonts w:eastAsia="Times New Roman" w:cs="Times New Roman"/>
          <w:szCs w:val="24"/>
        </w:rPr>
        <w:t xml:space="preserve">, the complainant </w:t>
      </w:r>
      <w:r w:rsidR="00CA32E5" w:rsidRPr="00FC69E7">
        <w:rPr>
          <w:rFonts w:eastAsia="Times New Roman" w:cs="Times New Roman"/>
          <w:szCs w:val="24"/>
        </w:rPr>
        <w:t>did not disclose the sexual assaults until 10 years after the first assau</w:t>
      </w:r>
      <w:r w:rsidR="00DE0C6B" w:rsidRPr="00FC69E7">
        <w:rPr>
          <w:rFonts w:eastAsia="Times New Roman" w:cs="Times New Roman"/>
          <w:szCs w:val="24"/>
        </w:rPr>
        <w:t>lt</w:t>
      </w:r>
      <w:r w:rsidR="004D2C33" w:rsidRPr="00FC69E7">
        <w:rPr>
          <w:rFonts w:eastAsia="Times New Roman" w:cs="Times New Roman"/>
          <w:szCs w:val="24"/>
        </w:rPr>
        <w:t xml:space="preserve">.  </w:t>
      </w:r>
      <w:r w:rsidR="00DE0C6B" w:rsidRPr="00FC69E7">
        <w:rPr>
          <w:rFonts w:eastAsia="Times New Roman" w:cs="Times New Roman"/>
          <w:szCs w:val="24"/>
        </w:rPr>
        <w:t xml:space="preserve">The </w:t>
      </w:r>
      <w:r w:rsidR="003319D6" w:rsidRPr="00FC69E7">
        <w:rPr>
          <w:rFonts w:eastAsia="Times New Roman" w:cs="Times New Roman"/>
          <w:szCs w:val="24"/>
        </w:rPr>
        <w:t>CSAS</w:t>
      </w:r>
      <w:r w:rsidR="00DE0C6B" w:rsidRPr="00FC69E7">
        <w:rPr>
          <w:rFonts w:eastAsia="Times New Roman" w:cs="Times New Roman"/>
          <w:szCs w:val="24"/>
        </w:rPr>
        <w:t xml:space="preserve"> expert testimony was therefore </w:t>
      </w:r>
      <w:r w:rsidR="00EB2AFA" w:rsidRPr="00FC69E7">
        <w:rPr>
          <w:rFonts w:cs="Times New Roman"/>
          <w:szCs w:val="24"/>
        </w:rPr>
        <w:t>“</w:t>
      </w:r>
      <w:r w:rsidR="009E3AA7" w:rsidRPr="00FC69E7">
        <w:rPr>
          <w:rFonts w:cs="Times New Roman"/>
          <w:szCs w:val="24"/>
        </w:rPr>
        <w:t xml:space="preserve">appropriate to assist the jury in assessing </w:t>
      </w:r>
      <w:r w:rsidR="00DE0C6B" w:rsidRPr="00FC69E7">
        <w:rPr>
          <w:rFonts w:cs="Times New Roman"/>
          <w:szCs w:val="24"/>
        </w:rPr>
        <w:t>[the complainant</w:t>
      </w:r>
      <w:r w:rsidR="00EB2AFA" w:rsidRPr="00FC69E7">
        <w:rPr>
          <w:rFonts w:cs="Times New Roman"/>
          <w:szCs w:val="24"/>
        </w:rPr>
        <w:t>’</w:t>
      </w:r>
      <w:r w:rsidR="00DE0C6B" w:rsidRPr="00FC69E7">
        <w:rPr>
          <w:rFonts w:cs="Times New Roman"/>
          <w:szCs w:val="24"/>
        </w:rPr>
        <w:t>s]</w:t>
      </w:r>
      <w:r w:rsidR="009E3AA7" w:rsidRPr="00FC69E7">
        <w:rPr>
          <w:rFonts w:cs="Times New Roman"/>
          <w:szCs w:val="24"/>
        </w:rPr>
        <w:t xml:space="preserve"> credibility by </w:t>
      </w:r>
      <w:r w:rsidR="00EB2AFA" w:rsidRPr="00FC69E7">
        <w:rPr>
          <w:rFonts w:cs="Times New Roman"/>
          <w:szCs w:val="24"/>
        </w:rPr>
        <w:t>‘</w:t>
      </w:r>
      <w:r w:rsidR="009E3AA7" w:rsidRPr="00FC69E7">
        <w:rPr>
          <w:rFonts w:cs="Times New Roman"/>
          <w:szCs w:val="24"/>
        </w:rPr>
        <w:t>explaining victims</w:t>
      </w:r>
      <w:r w:rsidR="00EB2AFA" w:rsidRPr="00FC69E7">
        <w:rPr>
          <w:rFonts w:cs="Times New Roman"/>
          <w:szCs w:val="24"/>
        </w:rPr>
        <w:t>’</w:t>
      </w:r>
      <w:r w:rsidR="009E3AA7" w:rsidRPr="00FC69E7">
        <w:rPr>
          <w:rFonts w:cs="Times New Roman"/>
          <w:szCs w:val="24"/>
        </w:rPr>
        <w:t xml:space="preserve"> subsequent behavior that the factfinder might not understand, such as why victims may accommodate abusers and why they wait before disclosing the abuse</w:t>
      </w:r>
      <w:r w:rsidR="00B0779D" w:rsidRPr="00FC69E7">
        <w:rPr>
          <w:rFonts w:cs="Times New Roman"/>
          <w:szCs w:val="24"/>
        </w:rPr>
        <w:t>.</w:t>
      </w:r>
      <w:r w:rsidR="00034CF6" w:rsidRPr="00FC69E7">
        <w:rPr>
          <w:rFonts w:cs="Times New Roman"/>
          <w:szCs w:val="24"/>
        </w:rPr>
        <w:t>’</w:t>
      </w:r>
      <w:r w:rsidR="00B0779D" w:rsidRPr="00FC69E7">
        <w:rPr>
          <w:rFonts w:cs="Times New Roman"/>
          <w:szCs w:val="24"/>
        </w:rPr>
        <w:t xml:space="preserve"> </w:t>
      </w:r>
      <w:r w:rsidR="009E3AA7" w:rsidRPr="00FC69E7">
        <w:rPr>
          <w:rFonts w:cs="Times New Roman"/>
          <w:szCs w:val="24"/>
        </w:rPr>
        <w:t>”</w:t>
      </w:r>
      <w:r w:rsidR="00AB025E" w:rsidRPr="00FC69E7">
        <w:rPr>
          <w:rFonts w:cs="Times New Roman"/>
          <w:szCs w:val="24"/>
        </w:rPr>
        <w:t xml:space="preserve"> </w:t>
      </w:r>
      <w:r w:rsidR="00FF0205" w:rsidRPr="00FC69E7">
        <w:rPr>
          <w:rFonts w:cs="Times New Roman"/>
          <w:szCs w:val="24"/>
        </w:rPr>
        <w:t>(</w:t>
      </w:r>
      <w:r w:rsidR="00AB025E" w:rsidRPr="00FC69E7">
        <w:rPr>
          <w:rFonts w:cs="Times New Roman"/>
          <w:i/>
          <w:iCs/>
          <w:szCs w:val="24"/>
        </w:rPr>
        <w:t>Nicholson</w:t>
      </w:r>
      <w:r w:rsidR="008129AC" w:rsidRPr="00FC69E7">
        <w:rPr>
          <w:rFonts w:cs="Times New Roman"/>
          <w:i/>
          <w:iCs/>
          <w:szCs w:val="24"/>
        </w:rPr>
        <w:t xml:space="preserve"> </w:t>
      </w:r>
      <w:r w:rsidR="008129AC" w:rsidRPr="00FC69E7">
        <w:rPr>
          <w:rFonts w:cs="Times New Roman"/>
          <w:szCs w:val="24"/>
        </w:rPr>
        <w:t>at 828</w:t>
      </w:r>
      <w:r w:rsidR="00034CF6" w:rsidRPr="00FC69E7">
        <w:rPr>
          <w:rFonts w:cs="Times New Roman"/>
          <w:szCs w:val="24"/>
        </w:rPr>
        <w:t>;</w:t>
      </w:r>
      <w:r w:rsidR="00304C2E" w:rsidRPr="00FC69E7">
        <w:rPr>
          <w:rFonts w:cs="Times New Roman"/>
          <w:szCs w:val="24"/>
        </w:rPr>
        <w:t xml:space="preserve"> </w:t>
      </w:r>
      <w:r w:rsidR="00034CF6" w:rsidRPr="00FC69E7">
        <w:rPr>
          <w:rFonts w:cs="Times New Roman"/>
          <w:szCs w:val="24"/>
        </w:rPr>
        <w:t>s</w:t>
      </w:r>
      <w:r w:rsidR="008C3EC4" w:rsidRPr="00FC69E7">
        <w:rPr>
          <w:rFonts w:cs="Times New Roman"/>
          <w:i/>
          <w:iCs/>
          <w:szCs w:val="24"/>
        </w:rPr>
        <w:t>ee</w:t>
      </w:r>
      <w:r w:rsidR="00EF27EF" w:rsidRPr="00FC69E7">
        <w:rPr>
          <w:rFonts w:cs="Times New Roman"/>
          <w:szCs w:val="24"/>
        </w:rPr>
        <w:t xml:space="preserve"> </w:t>
      </w:r>
      <w:r w:rsidR="00CC3908" w:rsidRPr="00FC69E7">
        <w:rPr>
          <w:rFonts w:eastAsia="Times New Roman" w:cs="Times New Roman"/>
          <w:i/>
          <w:iCs/>
          <w:szCs w:val="24"/>
        </w:rPr>
        <w:t xml:space="preserve">Spicola </w:t>
      </w:r>
      <w:r w:rsidR="00CC3908" w:rsidRPr="00FC69E7">
        <w:rPr>
          <w:rFonts w:eastAsia="Times New Roman" w:cs="Times New Roman"/>
          <w:szCs w:val="24"/>
        </w:rPr>
        <w:t xml:space="preserve">at 465 </w:t>
      </w:r>
      <w:r w:rsidR="00215E7C" w:rsidRPr="00FC69E7">
        <w:rPr>
          <w:rFonts w:eastAsia="Times New Roman" w:cs="Times New Roman"/>
          <w:szCs w:val="24"/>
        </w:rPr>
        <w:t>[</w:t>
      </w:r>
      <w:r w:rsidR="00CC3908" w:rsidRPr="00FC69E7">
        <w:rPr>
          <w:rFonts w:eastAsia="Times New Roman" w:cs="Times New Roman"/>
          <w:szCs w:val="24"/>
        </w:rPr>
        <w:t xml:space="preserve">the expert had not met the complainant and the </w:t>
      </w:r>
      <w:r w:rsidR="003319D6" w:rsidRPr="00FC69E7">
        <w:rPr>
          <w:rFonts w:eastAsia="Times New Roman" w:cs="Times New Roman"/>
          <w:szCs w:val="24"/>
        </w:rPr>
        <w:t>CSAS</w:t>
      </w:r>
      <w:r w:rsidR="00CC3908" w:rsidRPr="00FC69E7">
        <w:rPr>
          <w:rFonts w:eastAsia="Times New Roman" w:cs="Times New Roman"/>
          <w:szCs w:val="24"/>
        </w:rPr>
        <w:t xml:space="preserve"> testimony was not to be construed as an opinion on the complainant</w:t>
      </w:r>
      <w:r w:rsidR="00EB2AFA" w:rsidRPr="00FC69E7">
        <w:rPr>
          <w:rFonts w:eastAsia="Times New Roman" w:cs="Times New Roman"/>
          <w:szCs w:val="24"/>
        </w:rPr>
        <w:t>’</w:t>
      </w:r>
      <w:r w:rsidR="00CC3908" w:rsidRPr="00FC69E7">
        <w:rPr>
          <w:rFonts w:eastAsia="Times New Roman" w:cs="Times New Roman"/>
          <w:szCs w:val="24"/>
        </w:rPr>
        <w:t>s credibility as to whether the abuse took place</w:t>
      </w:r>
      <w:r w:rsidR="00215E7C" w:rsidRPr="00FC69E7">
        <w:rPr>
          <w:rFonts w:eastAsia="Times New Roman" w:cs="Times New Roman"/>
          <w:szCs w:val="24"/>
        </w:rPr>
        <w:t>]</w:t>
      </w:r>
      <w:r w:rsidR="00CC3908" w:rsidRPr="00FC69E7">
        <w:rPr>
          <w:rFonts w:eastAsia="Times New Roman" w:cs="Times New Roman"/>
          <w:szCs w:val="24"/>
        </w:rPr>
        <w:t xml:space="preserve">; </w:t>
      </w:r>
      <w:r w:rsidR="00CC3908" w:rsidRPr="00FC69E7">
        <w:rPr>
          <w:rFonts w:eastAsia="Times New Roman" w:cs="Times New Roman"/>
          <w:i/>
          <w:iCs/>
          <w:szCs w:val="24"/>
        </w:rPr>
        <w:t xml:space="preserve">Williams </w:t>
      </w:r>
      <w:r w:rsidR="00CC3908" w:rsidRPr="00FC69E7">
        <w:rPr>
          <w:rFonts w:eastAsia="Times New Roman" w:cs="Times New Roman"/>
          <w:szCs w:val="24"/>
        </w:rPr>
        <w:t>at 584</w:t>
      </w:r>
      <w:r w:rsidR="00D178FA" w:rsidRPr="00FC69E7">
        <w:rPr>
          <w:rFonts w:eastAsia="Times New Roman" w:cs="Times New Roman"/>
          <w:szCs w:val="24"/>
        </w:rPr>
        <w:t>.</w:t>
      </w:r>
      <w:r w:rsidR="00CC3908" w:rsidRPr="00FC69E7">
        <w:rPr>
          <w:rFonts w:eastAsia="Times New Roman" w:cs="Times New Roman"/>
          <w:szCs w:val="24"/>
        </w:rPr>
        <w:t>)</w:t>
      </w:r>
      <w:bookmarkEnd w:id="6"/>
    </w:p>
    <w:sectPr w:rsidR="00224021" w:rsidRPr="00FC69E7" w:rsidSect="00DE56DD">
      <w:footerReference w:type="default" r:id="rId7"/>
      <w:pgSz w:w="12240" w:h="15840" w:code="1"/>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E1DB" w14:textId="77777777" w:rsidR="00A91A46" w:rsidRDefault="00A91A46" w:rsidP="00F17FBA">
      <w:pPr>
        <w:spacing w:line="240" w:lineRule="auto"/>
      </w:pPr>
      <w:r>
        <w:separator/>
      </w:r>
    </w:p>
  </w:endnote>
  <w:endnote w:type="continuationSeparator" w:id="0">
    <w:p w14:paraId="24934B56" w14:textId="77777777" w:rsidR="00A91A46" w:rsidRDefault="00A91A46" w:rsidP="00F17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242690"/>
      <w:docPartObj>
        <w:docPartGallery w:val="Page Numbers (Bottom of Page)"/>
        <w:docPartUnique/>
      </w:docPartObj>
    </w:sdtPr>
    <w:sdtEndPr>
      <w:rPr>
        <w:noProof/>
      </w:rPr>
    </w:sdtEndPr>
    <w:sdtContent>
      <w:p w14:paraId="04269B81" w14:textId="21071B1F" w:rsidR="00EE3738" w:rsidRDefault="00EE37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FB0B" w14:textId="77777777" w:rsidR="00A91A46" w:rsidRDefault="00A91A46" w:rsidP="00F17FBA">
      <w:pPr>
        <w:spacing w:line="240" w:lineRule="auto"/>
      </w:pPr>
      <w:r>
        <w:separator/>
      </w:r>
    </w:p>
  </w:footnote>
  <w:footnote w:type="continuationSeparator" w:id="0">
    <w:p w14:paraId="1F1824BE" w14:textId="77777777" w:rsidR="00A91A46" w:rsidRDefault="00A91A46" w:rsidP="00F17F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079BB"/>
    <w:multiLevelType w:val="hybridMultilevel"/>
    <w:tmpl w:val="A7ECAB26"/>
    <w:lvl w:ilvl="0" w:tplc="1708DE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D6"/>
    <w:rsid w:val="00005D3F"/>
    <w:rsid w:val="000061F1"/>
    <w:rsid w:val="000333FC"/>
    <w:rsid w:val="000339A8"/>
    <w:rsid w:val="00034CF6"/>
    <w:rsid w:val="00036EE8"/>
    <w:rsid w:val="0004026E"/>
    <w:rsid w:val="00047EF0"/>
    <w:rsid w:val="00050AF0"/>
    <w:rsid w:val="00061603"/>
    <w:rsid w:val="000739E5"/>
    <w:rsid w:val="000860B5"/>
    <w:rsid w:val="00093E96"/>
    <w:rsid w:val="00093EBD"/>
    <w:rsid w:val="000A12C9"/>
    <w:rsid w:val="000A1D8C"/>
    <w:rsid w:val="000B5DD6"/>
    <w:rsid w:val="000D2490"/>
    <w:rsid w:val="000D405A"/>
    <w:rsid w:val="000D5F41"/>
    <w:rsid w:val="000E6CE3"/>
    <w:rsid w:val="0010157E"/>
    <w:rsid w:val="00104F2B"/>
    <w:rsid w:val="0011151C"/>
    <w:rsid w:val="001149DB"/>
    <w:rsid w:val="00115E9C"/>
    <w:rsid w:val="001227BC"/>
    <w:rsid w:val="00122961"/>
    <w:rsid w:val="00123AE1"/>
    <w:rsid w:val="001268A4"/>
    <w:rsid w:val="001379EE"/>
    <w:rsid w:val="00140B5E"/>
    <w:rsid w:val="00142E7E"/>
    <w:rsid w:val="00144EE3"/>
    <w:rsid w:val="00163F19"/>
    <w:rsid w:val="00171408"/>
    <w:rsid w:val="00191B86"/>
    <w:rsid w:val="00191DF1"/>
    <w:rsid w:val="001928FD"/>
    <w:rsid w:val="001A52B0"/>
    <w:rsid w:val="001A6D84"/>
    <w:rsid w:val="001A7F1A"/>
    <w:rsid w:val="001B0248"/>
    <w:rsid w:val="001B1485"/>
    <w:rsid w:val="001B17A0"/>
    <w:rsid w:val="001B274E"/>
    <w:rsid w:val="001B4932"/>
    <w:rsid w:val="001B4A51"/>
    <w:rsid w:val="001B6D19"/>
    <w:rsid w:val="001C67D6"/>
    <w:rsid w:val="001C741C"/>
    <w:rsid w:val="001D37A9"/>
    <w:rsid w:val="001D6FA5"/>
    <w:rsid w:val="001E31B1"/>
    <w:rsid w:val="001E37E8"/>
    <w:rsid w:val="001F02E1"/>
    <w:rsid w:val="00201C6A"/>
    <w:rsid w:val="00202153"/>
    <w:rsid w:val="00210A8A"/>
    <w:rsid w:val="00215E7C"/>
    <w:rsid w:val="00224021"/>
    <w:rsid w:val="00232C32"/>
    <w:rsid w:val="00234E59"/>
    <w:rsid w:val="002765C9"/>
    <w:rsid w:val="0028122E"/>
    <w:rsid w:val="002862BC"/>
    <w:rsid w:val="002A6B86"/>
    <w:rsid w:val="002B1915"/>
    <w:rsid w:val="002B2877"/>
    <w:rsid w:val="002C4E07"/>
    <w:rsid w:val="002D0B34"/>
    <w:rsid w:val="002D1D0E"/>
    <w:rsid w:val="002D65CA"/>
    <w:rsid w:val="002E5810"/>
    <w:rsid w:val="002F05B0"/>
    <w:rsid w:val="00300ECB"/>
    <w:rsid w:val="00304C2E"/>
    <w:rsid w:val="00307FB2"/>
    <w:rsid w:val="00312A65"/>
    <w:rsid w:val="00320B18"/>
    <w:rsid w:val="00321352"/>
    <w:rsid w:val="0032397C"/>
    <w:rsid w:val="00324524"/>
    <w:rsid w:val="003251C2"/>
    <w:rsid w:val="003319D6"/>
    <w:rsid w:val="0033535E"/>
    <w:rsid w:val="003403B6"/>
    <w:rsid w:val="0034399E"/>
    <w:rsid w:val="003466AB"/>
    <w:rsid w:val="00360396"/>
    <w:rsid w:val="00377A57"/>
    <w:rsid w:val="00384E04"/>
    <w:rsid w:val="003852CB"/>
    <w:rsid w:val="003914C1"/>
    <w:rsid w:val="003A10F3"/>
    <w:rsid w:val="003A1369"/>
    <w:rsid w:val="003B748A"/>
    <w:rsid w:val="003C7782"/>
    <w:rsid w:val="003D06DD"/>
    <w:rsid w:val="003E00AB"/>
    <w:rsid w:val="003E3308"/>
    <w:rsid w:val="003E4BF9"/>
    <w:rsid w:val="003F1B2C"/>
    <w:rsid w:val="00400078"/>
    <w:rsid w:val="004015A0"/>
    <w:rsid w:val="00401FFF"/>
    <w:rsid w:val="004109E1"/>
    <w:rsid w:val="00414853"/>
    <w:rsid w:val="004207D5"/>
    <w:rsid w:val="004239C9"/>
    <w:rsid w:val="00431C11"/>
    <w:rsid w:val="004375C2"/>
    <w:rsid w:val="004476A4"/>
    <w:rsid w:val="00450A59"/>
    <w:rsid w:val="00452C10"/>
    <w:rsid w:val="00455011"/>
    <w:rsid w:val="004645AE"/>
    <w:rsid w:val="004646A1"/>
    <w:rsid w:val="004660A5"/>
    <w:rsid w:val="004802A0"/>
    <w:rsid w:val="004A3C81"/>
    <w:rsid w:val="004A515C"/>
    <w:rsid w:val="004A5D3F"/>
    <w:rsid w:val="004A6D76"/>
    <w:rsid w:val="004B062E"/>
    <w:rsid w:val="004C6252"/>
    <w:rsid w:val="004D2C33"/>
    <w:rsid w:val="004D2D6E"/>
    <w:rsid w:val="004D376C"/>
    <w:rsid w:val="004D5FDA"/>
    <w:rsid w:val="004E3F46"/>
    <w:rsid w:val="004F25D6"/>
    <w:rsid w:val="004F2E86"/>
    <w:rsid w:val="005014F6"/>
    <w:rsid w:val="00504E87"/>
    <w:rsid w:val="00511D32"/>
    <w:rsid w:val="005128FD"/>
    <w:rsid w:val="005419E7"/>
    <w:rsid w:val="00551384"/>
    <w:rsid w:val="005716E2"/>
    <w:rsid w:val="00580664"/>
    <w:rsid w:val="00586D0F"/>
    <w:rsid w:val="005A0447"/>
    <w:rsid w:val="005B721B"/>
    <w:rsid w:val="005B7ABD"/>
    <w:rsid w:val="005C7CF6"/>
    <w:rsid w:val="005D53D6"/>
    <w:rsid w:val="005E450F"/>
    <w:rsid w:val="005F5C62"/>
    <w:rsid w:val="005F61D8"/>
    <w:rsid w:val="005F66B5"/>
    <w:rsid w:val="006145CA"/>
    <w:rsid w:val="00622332"/>
    <w:rsid w:val="00622406"/>
    <w:rsid w:val="006258A9"/>
    <w:rsid w:val="0062632B"/>
    <w:rsid w:val="00626CC3"/>
    <w:rsid w:val="00632831"/>
    <w:rsid w:val="00634532"/>
    <w:rsid w:val="00643553"/>
    <w:rsid w:val="006458ED"/>
    <w:rsid w:val="00652974"/>
    <w:rsid w:val="00662202"/>
    <w:rsid w:val="006624D0"/>
    <w:rsid w:val="00666AFD"/>
    <w:rsid w:val="006751FE"/>
    <w:rsid w:val="00680F03"/>
    <w:rsid w:val="00686AAB"/>
    <w:rsid w:val="0068796C"/>
    <w:rsid w:val="006905A3"/>
    <w:rsid w:val="006A1E69"/>
    <w:rsid w:val="006A5F9A"/>
    <w:rsid w:val="006C1F79"/>
    <w:rsid w:val="006E7AF8"/>
    <w:rsid w:val="006F593F"/>
    <w:rsid w:val="00704DE5"/>
    <w:rsid w:val="00706D1B"/>
    <w:rsid w:val="00710A05"/>
    <w:rsid w:val="00726F58"/>
    <w:rsid w:val="00726FB2"/>
    <w:rsid w:val="007346D4"/>
    <w:rsid w:val="007369EB"/>
    <w:rsid w:val="007425F2"/>
    <w:rsid w:val="007455E8"/>
    <w:rsid w:val="00753A77"/>
    <w:rsid w:val="007542BD"/>
    <w:rsid w:val="0075453C"/>
    <w:rsid w:val="007552DC"/>
    <w:rsid w:val="00757FA4"/>
    <w:rsid w:val="007779A5"/>
    <w:rsid w:val="007811DA"/>
    <w:rsid w:val="007844E4"/>
    <w:rsid w:val="00786EDD"/>
    <w:rsid w:val="007907A0"/>
    <w:rsid w:val="007A2BF8"/>
    <w:rsid w:val="007A45D8"/>
    <w:rsid w:val="007B0250"/>
    <w:rsid w:val="007C20BF"/>
    <w:rsid w:val="007D24ED"/>
    <w:rsid w:val="007D2F63"/>
    <w:rsid w:val="007E5B1E"/>
    <w:rsid w:val="007E6537"/>
    <w:rsid w:val="007F470D"/>
    <w:rsid w:val="007F569E"/>
    <w:rsid w:val="007F6E9C"/>
    <w:rsid w:val="007F7A5D"/>
    <w:rsid w:val="00805324"/>
    <w:rsid w:val="00805C44"/>
    <w:rsid w:val="008076DD"/>
    <w:rsid w:val="008125EE"/>
    <w:rsid w:val="008129AC"/>
    <w:rsid w:val="00832059"/>
    <w:rsid w:val="00842DD7"/>
    <w:rsid w:val="00843851"/>
    <w:rsid w:val="00845F7D"/>
    <w:rsid w:val="0085462C"/>
    <w:rsid w:val="008549C9"/>
    <w:rsid w:val="00861B90"/>
    <w:rsid w:val="00877C78"/>
    <w:rsid w:val="00883C91"/>
    <w:rsid w:val="008906AC"/>
    <w:rsid w:val="008A413F"/>
    <w:rsid w:val="008A52FE"/>
    <w:rsid w:val="008B67E3"/>
    <w:rsid w:val="008C3EC4"/>
    <w:rsid w:val="008C4093"/>
    <w:rsid w:val="008C40D1"/>
    <w:rsid w:val="008D3D4C"/>
    <w:rsid w:val="008E2169"/>
    <w:rsid w:val="008E3289"/>
    <w:rsid w:val="008F78FB"/>
    <w:rsid w:val="009010C6"/>
    <w:rsid w:val="0091222E"/>
    <w:rsid w:val="00914364"/>
    <w:rsid w:val="00930C80"/>
    <w:rsid w:val="00941303"/>
    <w:rsid w:val="00945763"/>
    <w:rsid w:val="00946F36"/>
    <w:rsid w:val="00951BC5"/>
    <w:rsid w:val="009571A9"/>
    <w:rsid w:val="009648BD"/>
    <w:rsid w:val="00966B34"/>
    <w:rsid w:val="009672B7"/>
    <w:rsid w:val="00984BB0"/>
    <w:rsid w:val="009938AF"/>
    <w:rsid w:val="009A0514"/>
    <w:rsid w:val="009A6E33"/>
    <w:rsid w:val="009A7F47"/>
    <w:rsid w:val="009B7FEA"/>
    <w:rsid w:val="009C0B03"/>
    <w:rsid w:val="009D4896"/>
    <w:rsid w:val="009E2B86"/>
    <w:rsid w:val="009E3AA7"/>
    <w:rsid w:val="009E565D"/>
    <w:rsid w:val="009E5D56"/>
    <w:rsid w:val="009E74FB"/>
    <w:rsid w:val="009F73A7"/>
    <w:rsid w:val="00A169CD"/>
    <w:rsid w:val="00A2188D"/>
    <w:rsid w:val="00A24D23"/>
    <w:rsid w:val="00A2796C"/>
    <w:rsid w:val="00A324E9"/>
    <w:rsid w:val="00A327C7"/>
    <w:rsid w:val="00A34744"/>
    <w:rsid w:val="00A45C3C"/>
    <w:rsid w:val="00A554F5"/>
    <w:rsid w:val="00A61F77"/>
    <w:rsid w:val="00A642D3"/>
    <w:rsid w:val="00A6646B"/>
    <w:rsid w:val="00A67AEE"/>
    <w:rsid w:val="00A862D9"/>
    <w:rsid w:val="00A91A46"/>
    <w:rsid w:val="00A94968"/>
    <w:rsid w:val="00A969AD"/>
    <w:rsid w:val="00A97595"/>
    <w:rsid w:val="00AA4704"/>
    <w:rsid w:val="00AB025E"/>
    <w:rsid w:val="00AB0E68"/>
    <w:rsid w:val="00AB1CA3"/>
    <w:rsid w:val="00AB5A6C"/>
    <w:rsid w:val="00AB7289"/>
    <w:rsid w:val="00AC434D"/>
    <w:rsid w:val="00AD085F"/>
    <w:rsid w:val="00AF5CE9"/>
    <w:rsid w:val="00B00A11"/>
    <w:rsid w:val="00B0779D"/>
    <w:rsid w:val="00B105B7"/>
    <w:rsid w:val="00B1492E"/>
    <w:rsid w:val="00B21643"/>
    <w:rsid w:val="00B2559B"/>
    <w:rsid w:val="00B31E9B"/>
    <w:rsid w:val="00B3455E"/>
    <w:rsid w:val="00B467B6"/>
    <w:rsid w:val="00B52ADD"/>
    <w:rsid w:val="00B53CB9"/>
    <w:rsid w:val="00B54D3F"/>
    <w:rsid w:val="00B646E8"/>
    <w:rsid w:val="00B70EC5"/>
    <w:rsid w:val="00B72F4F"/>
    <w:rsid w:val="00B74C2A"/>
    <w:rsid w:val="00B949AC"/>
    <w:rsid w:val="00BA3CC5"/>
    <w:rsid w:val="00BB05E2"/>
    <w:rsid w:val="00BB4B96"/>
    <w:rsid w:val="00BC1B9B"/>
    <w:rsid w:val="00BE5CB8"/>
    <w:rsid w:val="00BF2F00"/>
    <w:rsid w:val="00BF5622"/>
    <w:rsid w:val="00BF7016"/>
    <w:rsid w:val="00C05F0E"/>
    <w:rsid w:val="00C25890"/>
    <w:rsid w:val="00C25D60"/>
    <w:rsid w:val="00C2723F"/>
    <w:rsid w:val="00C2747C"/>
    <w:rsid w:val="00C27A0B"/>
    <w:rsid w:val="00C31E04"/>
    <w:rsid w:val="00C3370D"/>
    <w:rsid w:val="00C3699E"/>
    <w:rsid w:val="00C374ED"/>
    <w:rsid w:val="00C432ED"/>
    <w:rsid w:val="00C54CD0"/>
    <w:rsid w:val="00C62551"/>
    <w:rsid w:val="00C66772"/>
    <w:rsid w:val="00C70D15"/>
    <w:rsid w:val="00C72FD8"/>
    <w:rsid w:val="00C75F0A"/>
    <w:rsid w:val="00C846FB"/>
    <w:rsid w:val="00C85296"/>
    <w:rsid w:val="00C9378D"/>
    <w:rsid w:val="00C96D80"/>
    <w:rsid w:val="00C97A44"/>
    <w:rsid w:val="00CA32E5"/>
    <w:rsid w:val="00CA473E"/>
    <w:rsid w:val="00CA5509"/>
    <w:rsid w:val="00CC2C69"/>
    <w:rsid w:val="00CC3908"/>
    <w:rsid w:val="00CC4388"/>
    <w:rsid w:val="00CD34DF"/>
    <w:rsid w:val="00CD37C0"/>
    <w:rsid w:val="00CD671B"/>
    <w:rsid w:val="00CE263F"/>
    <w:rsid w:val="00CF2F0D"/>
    <w:rsid w:val="00CF6FC4"/>
    <w:rsid w:val="00D06920"/>
    <w:rsid w:val="00D178FA"/>
    <w:rsid w:val="00D22CBD"/>
    <w:rsid w:val="00D25463"/>
    <w:rsid w:val="00D34041"/>
    <w:rsid w:val="00D37E82"/>
    <w:rsid w:val="00D534CB"/>
    <w:rsid w:val="00D57017"/>
    <w:rsid w:val="00D63287"/>
    <w:rsid w:val="00D75D55"/>
    <w:rsid w:val="00D835BD"/>
    <w:rsid w:val="00D86B8F"/>
    <w:rsid w:val="00D90430"/>
    <w:rsid w:val="00D90DD8"/>
    <w:rsid w:val="00D9307F"/>
    <w:rsid w:val="00D97D13"/>
    <w:rsid w:val="00D97E75"/>
    <w:rsid w:val="00DA7BFA"/>
    <w:rsid w:val="00DC126E"/>
    <w:rsid w:val="00DC1D5E"/>
    <w:rsid w:val="00DC3382"/>
    <w:rsid w:val="00DC55D6"/>
    <w:rsid w:val="00DC7B01"/>
    <w:rsid w:val="00DE0429"/>
    <w:rsid w:val="00DE0C6B"/>
    <w:rsid w:val="00DE56DD"/>
    <w:rsid w:val="00DF55EE"/>
    <w:rsid w:val="00E00774"/>
    <w:rsid w:val="00E036E3"/>
    <w:rsid w:val="00E042EB"/>
    <w:rsid w:val="00E05212"/>
    <w:rsid w:val="00E061E5"/>
    <w:rsid w:val="00E06B90"/>
    <w:rsid w:val="00E07B13"/>
    <w:rsid w:val="00E111E5"/>
    <w:rsid w:val="00E118A1"/>
    <w:rsid w:val="00E11A6C"/>
    <w:rsid w:val="00E14BB2"/>
    <w:rsid w:val="00E36294"/>
    <w:rsid w:val="00E4448C"/>
    <w:rsid w:val="00E600F4"/>
    <w:rsid w:val="00E60B9C"/>
    <w:rsid w:val="00E62E3F"/>
    <w:rsid w:val="00E64ED3"/>
    <w:rsid w:val="00E76047"/>
    <w:rsid w:val="00EA09A5"/>
    <w:rsid w:val="00EB1762"/>
    <w:rsid w:val="00EB1977"/>
    <w:rsid w:val="00EB2AFA"/>
    <w:rsid w:val="00EC2DA9"/>
    <w:rsid w:val="00EC3893"/>
    <w:rsid w:val="00EC55FD"/>
    <w:rsid w:val="00ED5749"/>
    <w:rsid w:val="00ED61D9"/>
    <w:rsid w:val="00EE3738"/>
    <w:rsid w:val="00EF27EF"/>
    <w:rsid w:val="00EF37FD"/>
    <w:rsid w:val="00EF65E7"/>
    <w:rsid w:val="00F10D1E"/>
    <w:rsid w:val="00F15AB4"/>
    <w:rsid w:val="00F17F8B"/>
    <w:rsid w:val="00F17FBA"/>
    <w:rsid w:val="00F236EF"/>
    <w:rsid w:val="00F34383"/>
    <w:rsid w:val="00F34567"/>
    <w:rsid w:val="00F34AD5"/>
    <w:rsid w:val="00F56F9C"/>
    <w:rsid w:val="00F60426"/>
    <w:rsid w:val="00F67A90"/>
    <w:rsid w:val="00F67FFB"/>
    <w:rsid w:val="00F71DE9"/>
    <w:rsid w:val="00F76719"/>
    <w:rsid w:val="00F84AFF"/>
    <w:rsid w:val="00F869CB"/>
    <w:rsid w:val="00F90BA2"/>
    <w:rsid w:val="00F922AF"/>
    <w:rsid w:val="00F93109"/>
    <w:rsid w:val="00FA1D64"/>
    <w:rsid w:val="00FA42D0"/>
    <w:rsid w:val="00FB2F92"/>
    <w:rsid w:val="00FC69E7"/>
    <w:rsid w:val="00FD6218"/>
    <w:rsid w:val="00FD6ED1"/>
    <w:rsid w:val="00FE3C78"/>
    <w:rsid w:val="00FE690E"/>
    <w:rsid w:val="00FF01C3"/>
    <w:rsid w:val="00FF0205"/>
    <w:rsid w:val="00FF1E57"/>
    <w:rsid w:val="00FF551F"/>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E64A"/>
  <w15:chartTrackingRefBased/>
  <w15:docId w15:val="{D46AF0C6-1A15-43A8-B557-9EB95842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0F"/>
    <w:pPr>
      <w:spacing w:line="276" w:lineRule="auto"/>
      <w:ind w:left="1152" w:right="115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DD6"/>
    <w:pPr>
      <w:contextualSpacing/>
    </w:pPr>
  </w:style>
  <w:style w:type="paragraph" w:styleId="Header">
    <w:name w:val="header"/>
    <w:basedOn w:val="Normal"/>
    <w:link w:val="HeaderChar"/>
    <w:uiPriority w:val="99"/>
    <w:unhideWhenUsed/>
    <w:rsid w:val="00F17FBA"/>
    <w:pPr>
      <w:tabs>
        <w:tab w:val="center" w:pos="4680"/>
        <w:tab w:val="right" w:pos="9360"/>
      </w:tabs>
      <w:spacing w:line="240" w:lineRule="auto"/>
    </w:pPr>
  </w:style>
  <w:style w:type="character" w:customStyle="1" w:styleId="HeaderChar">
    <w:name w:val="Header Char"/>
    <w:basedOn w:val="DefaultParagraphFont"/>
    <w:link w:val="Header"/>
    <w:uiPriority w:val="99"/>
    <w:rsid w:val="00F17FBA"/>
    <w:rPr>
      <w:rFonts w:ascii="Times New Roman" w:hAnsi="Times New Roman"/>
      <w:sz w:val="24"/>
    </w:rPr>
  </w:style>
  <w:style w:type="paragraph" w:styleId="Footer">
    <w:name w:val="footer"/>
    <w:basedOn w:val="Normal"/>
    <w:link w:val="FooterChar"/>
    <w:uiPriority w:val="99"/>
    <w:unhideWhenUsed/>
    <w:rsid w:val="00F17FBA"/>
    <w:pPr>
      <w:tabs>
        <w:tab w:val="center" w:pos="4680"/>
        <w:tab w:val="right" w:pos="9360"/>
      </w:tabs>
      <w:spacing w:line="240" w:lineRule="auto"/>
    </w:pPr>
  </w:style>
  <w:style w:type="character" w:customStyle="1" w:styleId="FooterChar">
    <w:name w:val="Footer Char"/>
    <w:basedOn w:val="DefaultParagraphFont"/>
    <w:link w:val="Footer"/>
    <w:uiPriority w:val="99"/>
    <w:rsid w:val="00F17FBA"/>
    <w:rPr>
      <w:rFonts w:ascii="Times New Roman" w:hAnsi="Times New Roman"/>
      <w:sz w:val="24"/>
    </w:rPr>
  </w:style>
  <w:style w:type="character" w:styleId="CommentReference">
    <w:name w:val="annotation reference"/>
    <w:basedOn w:val="DefaultParagraphFont"/>
    <w:uiPriority w:val="99"/>
    <w:semiHidden/>
    <w:unhideWhenUsed/>
    <w:rsid w:val="00C432ED"/>
    <w:rPr>
      <w:sz w:val="16"/>
      <w:szCs w:val="16"/>
    </w:rPr>
  </w:style>
  <w:style w:type="paragraph" w:styleId="CommentText">
    <w:name w:val="annotation text"/>
    <w:basedOn w:val="Normal"/>
    <w:link w:val="CommentTextChar"/>
    <w:uiPriority w:val="99"/>
    <w:semiHidden/>
    <w:unhideWhenUsed/>
    <w:rsid w:val="00C432ED"/>
    <w:pPr>
      <w:spacing w:line="240" w:lineRule="auto"/>
    </w:pPr>
    <w:rPr>
      <w:sz w:val="20"/>
      <w:szCs w:val="20"/>
    </w:rPr>
  </w:style>
  <w:style w:type="character" w:customStyle="1" w:styleId="CommentTextChar">
    <w:name w:val="Comment Text Char"/>
    <w:basedOn w:val="DefaultParagraphFont"/>
    <w:link w:val="CommentText"/>
    <w:uiPriority w:val="99"/>
    <w:semiHidden/>
    <w:rsid w:val="00C432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432ED"/>
    <w:rPr>
      <w:b/>
      <w:bCs/>
    </w:rPr>
  </w:style>
  <w:style w:type="character" w:customStyle="1" w:styleId="CommentSubjectChar">
    <w:name w:val="Comment Subject Char"/>
    <w:basedOn w:val="CommentTextChar"/>
    <w:link w:val="CommentSubject"/>
    <w:uiPriority w:val="99"/>
    <w:semiHidden/>
    <w:rsid w:val="00C432ED"/>
    <w:rPr>
      <w:rFonts w:ascii="Times New Roman" w:hAnsi="Times New Roman"/>
      <w:b/>
      <w:bCs/>
      <w:sz w:val="20"/>
      <w:szCs w:val="20"/>
    </w:rPr>
  </w:style>
  <w:style w:type="paragraph" w:styleId="BalloonText">
    <w:name w:val="Balloon Text"/>
    <w:basedOn w:val="Normal"/>
    <w:link w:val="BalloonTextChar"/>
    <w:uiPriority w:val="99"/>
    <w:semiHidden/>
    <w:unhideWhenUsed/>
    <w:rsid w:val="00C43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899">
      <w:bodyDiv w:val="1"/>
      <w:marLeft w:val="0"/>
      <w:marRight w:val="0"/>
      <w:marTop w:val="0"/>
      <w:marBottom w:val="0"/>
      <w:divBdr>
        <w:top w:val="none" w:sz="0" w:space="0" w:color="auto"/>
        <w:left w:val="none" w:sz="0" w:space="0" w:color="auto"/>
        <w:bottom w:val="none" w:sz="0" w:space="0" w:color="auto"/>
        <w:right w:val="none" w:sz="0" w:space="0" w:color="auto"/>
      </w:divBdr>
    </w:div>
    <w:div w:id="1022901318">
      <w:bodyDiv w:val="1"/>
      <w:marLeft w:val="0"/>
      <w:marRight w:val="0"/>
      <w:marTop w:val="0"/>
      <w:marBottom w:val="0"/>
      <w:divBdr>
        <w:top w:val="none" w:sz="0" w:space="0" w:color="auto"/>
        <w:left w:val="none" w:sz="0" w:space="0" w:color="auto"/>
        <w:bottom w:val="none" w:sz="0" w:space="0" w:color="auto"/>
        <w:right w:val="none" w:sz="0" w:space="0" w:color="auto"/>
      </w:divBdr>
      <w:divsChild>
        <w:div w:id="257756166">
          <w:marLeft w:val="0"/>
          <w:marRight w:val="0"/>
          <w:marTop w:val="0"/>
          <w:marBottom w:val="0"/>
          <w:divBdr>
            <w:top w:val="none" w:sz="0" w:space="0" w:color="auto"/>
            <w:left w:val="none" w:sz="0" w:space="0" w:color="auto"/>
            <w:bottom w:val="none" w:sz="0" w:space="0" w:color="auto"/>
            <w:right w:val="none" w:sz="0" w:space="0" w:color="auto"/>
          </w:divBdr>
          <w:divsChild>
            <w:div w:id="20986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047">
      <w:bodyDiv w:val="1"/>
      <w:marLeft w:val="0"/>
      <w:marRight w:val="0"/>
      <w:marTop w:val="0"/>
      <w:marBottom w:val="0"/>
      <w:divBdr>
        <w:top w:val="none" w:sz="0" w:space="0" w:color="auto"/>
        <w:left w:val="none" w:sz="0" w:space="0" w:color="auto"/>
        <w:bottom w:val="none" w:sz="0" w:space="0" w:color="auto"/>
        <w:right w:val="none" w:sz="0" w:space="0" w:color="auto"/>
      </w:divBdr>
      <w:divsChild>
        <w:div w:id="847793563">
          <w:marLeft w:val="0"/>
          <w:marRight w:val="0"/>
          <w:marTop w:val="0"/>
          <w:marBottom w:val="0"/>
          <w:divBdr>
            <w:top w:val="none" w:sz="0" w:space="0" w:color="auto"/>
            <w:left w:val="none" w:sz="0" w:space="0" w:color="auto"/>
            <w:bottom w:val="none" w:sz="0" w:space="0" w:color="auto"/>
            <w:right w:val="none" w:sz="0" w:space="0" w:color="auto"/>
          </w:divBdr>
          <w:divsChild>
            <w:div w:id="4494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39898">
      <w:bodyDiv w:val="1"/>
      <w:marLeft w:val="0"/>
      <w:marRight w:val="0"/>
      <w:marTop w:val="0"/>
      <w:marBottom w:val="0"/>
      <w:divBdr>
        <w:top w:val="none" w:sz="0" w:space="0" w:color="auto"/>
        <w:left w:val="none" w:sz="0" w:space="0" w:color="auto"/>
        <w:bottom w:val="none" w:sz="0" w:space="0" w:color="auto"/>
        <w:right w:val="none" w:sz="0" w:space="0" w:color="auto"/>
      </w:divBdr>
      <w:divsChild>
        <w:div w:id="1938054140">
          <w:marLeft w:val="0"/>
          <w:marRight w:val="0"/>
          <w:marTop w:val="0"/>
          <w:marBottom w:val="0"/>
          <w:divBdr>
            <w:top w:val="none" w:sz="0" w:space="0" w:color="auto"/>
            <w:left w:val="none" w:sz="0" w:space="0" w:color="auto"/>
            <w:bottom w:val="none" w:sz="0" w:space="0" w:color="auto"/>
            <w:right w:val="none" w:sz="0" w:space="0" w:color="auto"/>
          </w:divBdr>
          <w:divsChild>
            <w:div w:id="1695376714">
              <w:marLeft w:val="0"/>
              <w:marRight w:val="0"/>
              <w:marTop w:val="0"/>
              <w:marBottom w:val="0"/>
              <w:divBdr>
                <w:top w:val="none" w:sz="0" w:space="0" w:color="auto"/>
                <w:left w:val="none" w:sz="0" w:space="0" w:color="auto"/>
                <w:bottom w:val="none" w:sz="0" w:space="0" w:color="auto"/>
                <w:right w:val="none" w:sz="0" w:space="0" w:color="auto"/>
              </w:divBdr>
              <w:divsChild>
                <w:div w:id="655840497">
                  <w:marLeft w:val="0"/>
                  <w:marRight w:val="0"/>
                  <w:marTop w:val="0"/>
                  <w:marBottom w:val="0"/>
                  <w:divBdr>
                    <w:top w:val="none" w:sz="0" w:space="0" w:color="auto"/>
                    <w:left w:val="none" w:sz="0" w:space="0" w:color="auto"/>
                    <w:bottom w:val="none" w:sz="0" w:space="0" w:color="auto"/>
                    <w:right w:val="none" w:sz="0" w:space="0" w:color="auto"/>
                  </w:divBdr>
                </w:div>
                <w:div w:id="346251832">
                  <w:marLeft w:val="0"/>
                  <w:marRight w:val="0"/>
                  <w:marTop w:val="0"/>
                  <w:marBottom w:val="0"/>
                  <w:divBdr>
                    <w:top w:val="none" w:sz="0" w:space="0" w:color="auto"/>
                    <w:left w:val="none" w:sz="0" w:space="0" w:color="auto"/>
                    <w:bottom w:val="none" w:sz="0" w:space="0" w:color="auto"/>
                    <w:right w:val="none" w:sz="0" w:space="0" w:color="auto"/>
                  </w:divBdr>
                  <w:divsChild>
                    <w:div w:id="805128508">
                      <w:marLeft w:val="0"/>
                      <w:marRight w:val="0"/>
                      <w:marTop w:val="0"/>
                      <w:marBottom w:val="0"/>
                      <w:divBdr>
                        <w:top w:val="none" w:sz="0" w:space="0" w:color="auto"/>
                        <w:left w:val="none" w:sz="0" w:space="0" w:color="auto"/>
                        <w:bottom w:val="none" w:sz="0" w:space="0" w:color="auto"/>
                        <w:right w:val="none" w:sz="0" w:space="0" w:color="auto"/>
                      </w:divBdr>
                    </w:div>
                  </w:divsChild>
                </w:div>
                <w:div w:id="348801156">
                  <w:marLeft w:val="0"/>
                  <w:marRight w:val="0"/>
                  <w:marTop w:val="0"/>
                  <w:marBottom w:val="0"/>
                  <w:divBdr>
                    <w:top w:val="none" w:sz="0" w:space="0" w:color="auto"/>
                    <w:left w:val="none" w:sz="0" w:space="0" w:color="auto"/>
                    <w:bottom w:val="none" w:sz="0" w:space="0" w:color="auto"/>
                    <w:right w:val="none" w:sz="0" w:space="0" w:color="auto"/>
                  </w:divBdr>
                  <w:divsChild>
                    <w:div w:id="681590058">
                      <w:marLeft w:val="0"/>
                      <w:marRight w:val="0"/>
                      <w:marTop w:val="0"/>
                      <w:marBottom w:val="0"/>
                      <w:divBdr>
                        <w:top w:val="none" w:sz="0" w:space="0" w:color="auto"/>
                        <w:left w:val="none" w:sz="0" w:space="0" w:color="auto"/>
                        <w:bottom w:val="none" w:sz="0" w:space="0" w:color="auto"/>
                        <w:right w:val="none" w:sz="0" w:space="0" w:color="auto"/>
                      </w:divBdr>
                    </w:div>
                  </w:divsChild>
                </w:div>
                <w:div w:id="1556627341">
                  <w:marLeft w:val="0"/>
                  <w:marRight w:val="0"/>
                  <w:marTop w:val="0"/>
                  <w:marBottom w:val="0"/>
                  <w:divBdr>
                    <w:top w:val="none" w:sz="0" w:space="0" w:color="auto"/>
                    <w:left w:val="none" w:sz="0" w:space="0" w:color="auto"/>
                    <w:bottom w:val="none" w:sz="0" w:space="0" w:color="auto"/>
                    <w:right w:val="none" w:sz="0" w:space="0" w:color="auto"/>
                  </w:divBdr>
                  <w:divsChild>
                    <w:div w:id="51466121">
                      <w:marLeft w:val="0"/>
                      <w:marRight w:val="0"/>
                      <w:marTop w:val="0"/>
                      <w:marBottom w:val="0"/>
                      <w:divBdr>
                        <w:top w:val="none" w:sz="0" w:space="0" w:color="auto"/>
                        <w:left w:val="none" w:sz="0" w:space="0" w:color="auto"/>
                        <w:bottom w:val="none" w:sz="0" w:space="0" w:color="auto"/>
                        <w:right w:val="none" w:sz="0" w:space="0" w:color="auto"/>
                      </w:divBdr>
                    </w:div>
                  </w:divsChild>
                </w:div>
                <w:div w:id="456994989">
                  <w:marLeft w:val="0"/>
                  <w:marRight w:val="0"/>
                  <w:marTop w:val="0"/>
                  <w:marBottom w:val="0"/>
                  <w:divBdr>
                    <w:top w:val="none" w:sz="0" w:space="0" w:color="auto"/>
                    <w:left w:val="none" w:sz="0" w:space="0" w:color="auto"/>
                    <w:bottom w:val="none" w:sz="0" w:space="0" w:color="auto"/>
                    <w:right w:val="none" w:sz="0" w:space="0" w:color="auto"/>
                  </w:divBdr>
                  <w:divsChild>
                    <w:div w:id="5129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80624">
      <w:bodyDiv w:val="1"/>
      <w:marLeft w:val="0"/>
      <w:marRight w:val="0"/>
      <w:marTop w:val="0"/>
      <w:marBottom w:val="0"/>
      <w:divBdr>
        <w:top w:val="none" w:sz="0" w:space="0" w:color="auto"/>
        <w:left w:val="none" w:sz="0" w:space="0" w:color="auto"/>
        <w:bottom w:val="none" w:sz="0" w:space="0" w:color="auto"/>
        <w:right w:val="none" w:sz="0" w:space="0" w:color="auto"/>
      </w:divBdr>
      <w:divsChild>
        <w:div w:id="1194923873">
          <w:marLeft w:val="0"/>
          <w:marRight w:val="0"/>
          <w:marTop w:val="0"/>
          <w:marBottom w:val="0"/>
          <w:divBdr>
            <w:top w:val="none" w:sz="0" w:space="0" w:color="auto"/>
            <w:left w:val="none" w:sz="0" w:space="0" w:color="auto"/>
            <w:bottom w:val="none" w:sz="0" w:space="0" w:color="auto"/>
            <w:right w:val="none" w:sz="0" w:space="0" w:color="auto"/>
          </w:divBdr>
          <w:divsChild>
            <w:div w:id="200286359">
              <w:marLeft w:val="0"/>
              <w:marRight w:val="0"/>
              <w:marTop w:val="0"/>
              <w:marBottom w:val="0"/>
              <w:divBdr>
                <w:top w:val="none" w:sz="0" w:space="0" w:color="auto"/>
                <w:left w:val="none" w:sz="0" w:space="0" w:color="auto"/>
                <w:bottom w:val="none" w:sz="0" w:space="0" w:color="auto"/>
                <w:right w:val="none" w:sz="0" w:space="0" w:color="auto"/>
              </w:divBdr>
              <w:divsChild>
                <w:div w:id="830102248">
                  <w:marLeft w:val="0"/>
                  <w:marRight w:val="0"/>
                  <w:marTop w:val="0"/>
                  <w:marBottom w:val="0"/>
                  <w:divBdr>
                    <w:top w:val="none" w:sz="0" w:space="0" w:color="auto"/>
                    <w:left w:val="none" w:sz="0" w:space="0" w:color="auto"/>
                    <w:bottom w:val="none" w:sz="0" w:space="0" w:color="auto"/>
                    <w:right w:val="none" w:sz="0" w:space="0" w:color="auto"/>
                  </w:divBdr>
                </w:div>
                <w:div w:id="404645836">
                  <w:marLeft w:val="0"/>
                  <w:marRight w:val="0"/>
                  <w:marTop w:val="0"/>
                  <w:marBottom w:val="0"/>
                  <w:divBdr>
                    <w:top w:val="none" w:sz="0" w:space="0" w:color="auto"/>
                    <w:left w:val="none" w:sz="0" w:space="0" w:color="auto"/>
                    <w:bottom w:val="none" w:sz="0" w:space="0" w:color="auto"/>
                    <w:right w:val="none" w:sz="0" w:space="0" w:color="auto"/>
                  </w:divBdr>
                </w:div>
                <w:div w:id="1421874320">
                  <w:marLeft w:val="0"/>
                  <w:marRight w:val="0"/>
                  <w:marTop w:val="0"/>
                  <w:marBottom w:val="0"/>
                  <w:divBdr>
                    <w:top w:val="none" w:sz="0" w:space="0" w:color="auto"/>
                    <w:left w:val="none" w:sz="0" w:space="0" w:color="auto"/>
                    <w:bottom w:val="none" w:sz="0" w:space="0" w:color="auto"/>
                    <w:right w:val="none" w:sz="0" w:space="0" w:color="auto"/>
                  </w:divBdr>
                  <w:divsChild>
                    <w:div w:id="615140509">
                      <w:marLeft w:val="0"/>
                      <w:marRight w:val="0"/>
                      <w:marTop w:val="0"/>
                      <w:marBottom w:val="0"/>
                      <w:divBdr>
                        <w:top w:val="none" w:sz="0" w:space="0" w:color="auto"/>
                        <w:left w:val="none" w:sz="0" w:space="0" w:color="auto"/>
                        <w:bottom w:val="none" w:sz="0" w:space="0" w:color="auto"/>
                        <w:right w:val="none" w:sz="0" w:space="0" w:color="auto"/>
                      </w:divBdr>
                    </w:div>
                  </w:divsChild>
                </w:div>
                <w:div w:id="1018386263">
                  <w:marLeft w:val="0"/>
                  <w:marRight w:val="0"/>
                  <w:marTop w:val="0"/>
                  <w:marBottom w:val="0"/>
                  <w:divBdr>
                    <w:top w:val="none" w:sz="0" w:space="0" w:color="auto"/>
                    <w:left w:val="none" w:sz="0" w:space="0" w:color="auto"/>
                    <w:bottom w:val="none" w:sz="0" w:space="0" w:color="auto"/>
                    <w:right w:val="none" w:sz="0" w:space="0" w:color="auto"/>
                  </w:divBdr>
                  <w:divsChild>
                    <w:div w:id="1606695828">
                      <w:marLeft w:val="0"/>
                      <w:marRight w:val="0"/>
                      <w:marTop w:val="0"/>
                      <w:marBottom w:val="0"/>
                      <w:divBdr>
                        <w:top w:val="none" w:sz="0" w:space="0" w:color="auto"/>
                        <w:left w:val="none" w:sz="0" w:space="0" w:color="auto"/>
                        <w:bottom w:val="none" w:sz="0" w:space="0" w:color="auto"/>
                        <w:right w:val="none" w:sz="0" w:space="0" w:color="auto"/>
                      </w:divBdr>
                    </w:div>
                  </w:divsChild>
                </w:div>
                <w:div w:id="1596866698">
                  <w:marLeft w:val="0"/>
                  <w:marRight w:val="0"/>
                  <w:marTop w:val="0"/>
                  <w:marBottom w:val="0"/>
                  <w:divBdr>
                    <w:top w:val="none" w:sz="0" w:space="0" w:color="auto"/>
                    <w:left w:val="none" w:sz="0" w:space="0" w:color="auto"/>
                    <w:bottom w:val="none" w:sz="0" w:space="0" w:color="auto"/>
                    <w:right w:val="none" w:sz="0" w:space="0" w:color="auto"/>
                  </w:divBdr>
                  <w:divsChild>
                    <w:div w:id="1423263735">
                      <w:marLeft w:val="0"/>
                      <w:marRight w:val="0"/>
                      <w:marTop w:val="0"/>
                      <w:marBottom w:val="0"/>
                      <w:divBdr>
                        <w:top w:val="none" w:sz="0" w:space="0" w:color="auto"/>
                        <w:left w:val="none" w:sz="0" w:space="0" w:color="auto"/>
                        <w:bottom w:val="none" w:sz="0" w:space="0" w:color="auto"/>
                        <w:right w:val="none" w:sz="0" w:space="0" w:color="auto"/>
                      </w:divBdr>
                    </w:div>
                  </w:divsChild>
                </w:div>
                <w:div w:id="798105701">
                  <w:marLeft w:val="0"/>
                  <w:marRight w:val="0"/>
                  <w:marTop w:val="0"/>
                  <w:marBottom w:val="0"/>
                  <w:divBdr>
                    <w:top w:val="none" w:sz="0" w:space="0" w:color="auto"/>
                    <w:left w:val="none" w:sz="0" w:space="0" w:color="auto"/>
                    <w:bottom w:val="none" w:sz="0" w:space="0" w:color="auto"/>
                    <w:right w:val="none" w:sz="0" w:space="0" w:color="auto"/>
                  </w:divBdr>
                  <w:divsChild>
                    <w:div w:id="433794212">
                      <w:marLeft w:val="0"/>
                      <w:marRight w:val="0"/>
                      <w:marTop w:val="0"/>
                      <w:marBottom w:val="0"/>
                      <w:divBdr>
                        <w:top w:val="none" w:sz="0" w:space="0" w:color="auto"/>
                        <w:left w:val="none" w:sz="0" w:space="0" w:color="auto"/>
                        <w:bottom w:val="none" w:sz="0" w:space="0" w:color="auto"/>
                        <w:right w:val="none" w:sz="0" w:space="0" w:color="auto"/>
                      </w:divBdr>
                    </w:div>
                  </w:divsChild>
                </w:div>
                <w:div w:id="619338118">
                  <w:marLeft w:val="0"/>
                  <w:marRight w:val="0"/>
                  <w:marTop w:val="0"/>
                  <w:marBottom w:val="0"/>
                  <w:divBdr>
                    <w:top w:val="none" w:sz="0" w:space="0" w:color="auto"/>
                    <w:left w:val="none" w:sz="0" w:space="0" w:color="auto"/>
                    <w:bottom w:val="none" w:sz="0" w:space="0" w:color="auto"/>
                    <w:right w:val="none" w:sz="0" w:space="0" w:color="auto"/>
                  </w:divBdr>
                  <w:divsChild>
                    <w:div w:id="1701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36876">
      <w:bodyDiv w:val="1"/>
      <w:marLeft w:val="0"/>
      <w:marRight w:val="0"/>
      <w:marTop w:val="0"/>
      <w:marBottom w:val="0"/>
      <w:divBdr>
        <w:top w:val="none" w:sz="0" w:space="0" w:color="auto"/>
        <w:left w:val="none" w:sz="0" w:space="0" w:color="auto"/>
        <w:bottom w:val="none" w:sz="0" w:space="0" w:color="auto"/>
        <w:right w:val="none" w:sz="0" w:space="0" w:color="auto"/>
      </w:divBdr>
      <w:divsChild>
        <w:div w:id="571236555">
          <w:marLeft w:val="0"/>
          <w:marRight w:val="0"/>
          <w:marTop w:val="0"/>
          <w:marBottom w:val="0"/>
          <w:divBdr>
            <w:top w:val="none" w:sz="0" w:space="0" w:color="auto"/>
            <w:left w:val="none" w:sz="0" w:space="0" w:color="auto"/>
            <w:bottom w:val="none" w:sz="0" w:space="0" w:color="auto"/>
            <w:right w:val="none" w:sz="0" w:space="0" w:color="auto"/>
          </w:divBdr>
          <w:divsChild>
            <w:div w:id="85419009">
              <w:marLeft w:val="0"/>
              <w:marRight w:val="0"/>
              <w:marTop w:val="0"/>
              <w:marBottom w:val="0"/>
              <w:divBdr>
                <w:top w:val="none" w:sz="0" w:space="0" w:color="auto"/>
                <w:left w:val="none" w:sz="0" w:space="0" w:color="auto"/>
                <w:bottom w:val="none" w:sz="0" w:space="0" w:color="auto"/>
                <w:right w:val="none" w:sz="0" w:space="0" w:color="auto"/>
              </w:divBdr>
              <w:divsChild>
                <w:div w:id="1416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45</cp:revision>
  <dcterms:created xsi:type="dcterms:W3CDTF">2021-11-13T03:10:00Z</dcterms:created>
  <dcterms:modified xsi:type="dcterms:W3CDTF">2021-12-03T02:52:00Z</dcterms:modified>
</cp:coreProperties>
</file>