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56B3E" w14:textId="75530973" w:rsidR="009B4DF4" w:rsidRPr="001B61DE" w:rsidRDefault="009B4DF4" w:rsidP="00706F04">
      <w:pPr>
        <w:spacing w:line="240" w:lineRule="auto"/>
        <w:ind w:left="0"/>
        <w:rPr>
          <w:rFonts w:cs="Times New Roman"/>
          <w:b/>
          <w:sz w:val="28"/>
          <w:szCs w:val="28"/>
        </w:rPr>
      </w:pPr>
      <w:r w:rsidRPr="001B61DE">
        <w:rPr>
          <w:rFonts w:cs="Times New Roman"/>
          <w:b/>
          <w:sz w:val="28"/>
          <w:szCs w:val="28"/>
        </w:rPr>
        <w:t>6.</w:t>
      </w:r>
      <w:r w:rsidR="008E0177" w:rsidRPr="001B61DE">
        <w:rPr>
          <w:rFonts w:cs="Times New Roman"/>
          <w:b/>
          <w:sz w:val="28"/>
          <w:szCs w:val="28"/>
        </w:rPr>
        <w:t>14</w:t>
      </w:r>
      <w:r w:rsidRPr="001B61DE">
        <w:rPr>
          <w:rFonts w:cs="Times New Roman"/>
          <w:b/>
          <w:sz w:val="28"/>
          <w:szCs w:val="28"/>
        </w:rPr>
        <w:t xml:space="preserve"> Impeachment by </w:t>
      </w:r>
      <w:r w:rsidR="005A49EB" w:rsidRPr="001B61DE">
        <w:rPr>
          <w:rFonts w:cs="Times New Roman"/>
          <w:b/>
          <w:sz w:val="28"/>
          <w:szCs w:val="28"/>
        </w:rPr>
        <w:t>Evidence Improperly Obtained</w:t>
      </w:r>
    </w:p>
    <w:p w14:paraId="5E8ED75D" w14:textId="77777777" w:rsidR="009B4DF4" w:rsidRPr="001B61DE" w:rsidRDefault="009B4DF4" w:rsidP="00706F04">
      <w:pPr>
        <w:spacing w:line="240" w:lineRule="auto"/>
        <w:ind w:left="0"/>
        <w:rPr>
          <w:rFonts w:cs="Times New Roman"/>
          <w:b/>
          <w:sz w:val="28"/>
          <w:szCs w:val="28"/>
          <w:lang w:val="x-none"/>
        </w:rPr>
      </w:pPr>
    </w:p>
    <w:p w14:paraId="4F4EE4A1" w14:textId="68A3E750" w:rsidR="00CF62FF" w:rsidRPr="001B61DE" w:rsidRDefault="00672F63" w:rsidP="00706F04">
      <w:pPr>
        <w:spacing w:line="240" w:lineRule="auto"/>
        <w:ind w:right="720"/>
        <w:rPr>
          <w:rFonts w:cs="Times New Roman"/>
          <w:b/>
          <w:strike/>
          <w:sz w:val="28"/>
          <w:szCs w:val="28"/>
        </w:rPr>
      </w:pPr>
      <w:r w:rsidRPr="001B61DE">
        <w:rPr>
          <w:rFonts w:cs="Times New Roman"/>
          <w:b/>
          <w:sz w:val="28"/>
          <w:szCs w:val="28"/>
        </w:rPr>
        <w:t xml:space="preserve">(1) </w:t>
      </w:r>
      <w:r w:rsidR="004C0C22" w:rsidRPr="001B61DE">
        <w:rPr>
          <w:rFonts w:cs="Times New Roman"/>
          <w:b/>
          <w:sz w:val="28"/>
          <w:szCs w:val="28"/>
        </w:rPr>
        <w:t xml:space="preserve">A </w:t>
      </w:r>
      <w:r w:rsidR="00793D76" w:rsidRPr="001B61DE">
        <w:rPr>
          <w:rFonts w:cs="Times New Roman"/>
          <w:b/>
          <w:sz w:val="28"/>
          <w:szCs w:val="28"/>
        </w:rPr>
        <w:t xml:space="preserve">voluntary </w:t>
      </w:r>
      <w:r w:rsidR="004C0C22" w:rsidRPr="001B61DE">
        <w:rPr>
          <w:rFonts w:cs="Times New Roman"/>
          <w:b/>
          <w:sz w:val="28"/>
          <w:szCs w:val="28"/>
        </w:rPr>
        <w:t xml:space="preserve">statement of a defendant </w:t>
      </w:r>
      <w:r w:rsidR="007D57DA" w:rsidRPr="001B61DE">
        <w:rPr>
          <w:rFonts w:cs="Times New Roman"/>
          <w:b/>
          <w:sz w:val="28"/>
          <w:szCs w:val="28"/>
        </w:rPr>
        <w:t>obtained by law enforcement in violation of (a)</w:t>
      </w:r>
      <w:r w:rsidR="00FC686B" w:rsidRPr="001B61DE">
        <w:rPr>
          <w:rFonts w:cs="Times New Roman"/>
          <w:b/>
          <w:sz w:val="28"/>
          <w:szCs w:val="28"/>
        </w:rPr>
        <w:t xml:space="preserve"> </w:t>
      </w:r>
      <w:r w:rsidR="007D57DA" w:rsidRPr="001B61DE">
        <w:rPr>
          <w:rFonts w:cs="Times New Roman"/>
          <w:b/>
          <w:sz w:val="28"/>
          <w:szCs w:val="28"/>
        </w:rPr>
        <w:t xml:space="preserve">the </w:t>
      </w:r>
      <w:r w:rsidR="00E82936" w:rsidRPr="001B61DE">
        <w:rPr>
          <w:rFonts w:cs="Times New Roman"/>
          <w:b/>
          <w:sz w:val="28"/>
          <w:szCs w:val="28"/>
        </w:rPr>
        <w:t xml:space="preserve">required pre-interrogation warnings </w:t>
      </w:r>
      <w:r w:rsidR="00FC686B" w:rsidRPr="001B61DE">
        <w:rPr>
          <w:rFonts w:cs="Times New Roman"/>
          <w:b/>
          <w:sz w:val="28"/>
          <w:szCs w:val="28"/>
        </w:rPr>
        <w:t xml:space="preserve">or (b) the defendant’s right to counsel </w:t>
      </w:r>
      <w:r w:rsidR="00E82936" w:rsidRPr="001B61DE">
        <w:rPr>
          <w:rFonts w:cs="Times New Roman"/>
          <w:b/>
          <w:sz w:val="28"/>
          <w:szCs w:val="28"/>
        </w:rPr>
        <w:t xml:space="preserve">may </w:t>
      </w:r>
      <w:r w:rsidR="00712FEE" w:rsidRPr="001B61DE">
        <w:rPr>
          <w:rFonts w:cs="Times New Roman"/>
          <w:b/>
          <w:sz w:val="28"/>
          <w:szCs w:val="28"/>
        </w:rPr>
        <w:t xml:space="preserve">be used to impeach the credibility of </w:t>
      </w:r>
      <w:r w:rsidR="00F221DC" w:rsidRPr="001B61DE">
        <w:rPr>
          <w:rFonts w:cs="Times New Roman"/>
          <w:b/>
          <w:sz w:val="28"/>
          <w:szCs w:val="28"/>
        </w:rPr>
        <w:t>a</w:t>
      </w:r>
      <w:r w:rsidR="00712FEE" w:rsidRPr="001B61DE">
        <w:rPr>
          <w:rFonts w:cs="Times New Roman"/>
          <w:b/>
          <w:sz w:val="28"/>
          <w:szCs w:val="28"/>
        </w:rPr>
        <w:t xml:space="preserve"> defendant</w:t>
      </w:r>
      <w:r w:rsidR="00697905" w:rsidRPr="001B61DE">
        <w:rPr>
          <w:rFonts w:cs="Times New Roman"/>
          <w:b/>
          <w:sz w:val="28"/>
          <w:szCs w:val="28"/>
        </w:rPr>
        <w:t xml:space="preserve"> </w:t>
      </w:r>
      <w:r w:rsidR="00712FEE" w:rsidRPr="001B61DE">
        <w:rPr>
          <w:rFonts w:cs="Times New Roman"/>
          <w:b/>
          <w:sz w:val="28"/>
          <w:szCs w:val="28"/>
        </w:rPr>
        <w:t>who gives testimony inconsistent with the statement</w:t>
      </w:r>
      <w:r w:rsidR="002B3F52" w:rsidRPr="001B61DE">
        <w:rPr>
          <w:rFonts w:cs="Times New Roman"/>
          <w:b/>
          <w:sz w:val="28"/>
          <w:szCs w:val="28"/>
        </w:rPr>
        <w:t>.</w:t>
      </w:r>
    </w:p>
    <w:p w14:paraId="12DB4FAE" w14:textId="77777777" w:rsidR="00672F63" w:rsidRPr="001B61DE" w:rsidRDefault="00672F63" w:rsidP="00706F04">
      <w:pPr>
        <w:spacing w:line="240" w:lineRule="auto"/>
        <w:ind w:left="0" w:right="1008"/>
        <w:rPr>
          <w:rFonts w:cs="Times New Roman"/>
          <w:b/>
          <w:strike/>
          <w:sz w:val="28"/>
          <w:szCs w:val="28"/>
        </w:rPr>
      </w:pPr>
    </w:p>
    <w:p w14:paraId="7701E26D" w14:textId="72EDC6D8" w:rsidR="003A2439" w:rsidRPr="001B61DE" w:rsidRDefault="00672F63" w:rsidP="00706F04">
      <w:pPr>
        <w:spacing w:line="240" w:lineRule="auto"/>
        <w:ind w:right="720"/>
        <w:rPr>
          <w:rFonts w:cs="Times New Roman"/>
          <w:b/>
          <w:strike/>
          <w:sz w:val="28"/>
          <w:szCs w:val="28"/>
        </w:rPr>
      </w:pPr>
      <w:r w:rsidRPr="001B61DE">
        <w:rPr>
          <w:rFonts w:cs="Times New Roman"/>
          <w:b/>
          <w:sz w:val="28"/>
          <w:szCs w:val="28"/>
        </w:rPr>
        <w:t xml:space="preserve">(2) </w:t>
      </w:r>
      <w:r w:rsidR="001C3A9F" w:rsidRPr="001B61DE">
        <w:rPr>
          <w:rFonts w:cs="Times New Roman"/>
          <w:b/>
          <w:sz w:val="28"/>
          <w:szCs w:val="28"/>
        </w:rPr>
        <w:t xml:space="preserve">A </w:t>
      </w:r>
      <w:r w:rsidR="00793D76" w:rsidRPr="001B61DE">
        <w:rPr>
          <w:rFonts w:cs="Times New Roman"/>
          <w:b/>
          <w:sz w:val="28"/>
          <w:szCs w:val="28"/>
        </w:rPr>
        <w:t xml:space="preserve">voluntary </w:t>
      </w:r>
      <w:r w:rsidR="001C3A9F" w:rsidRPr="001B61DE">
        <w:rPr>
          <w:rFonts w:cs="Times New Roman"/>
          <w:b/>
          <w:sz w:val="28"/>
          <w:szCs w:val="28"/>
        </w:rPr>
        <w:t xml:space="preserve">statement or </w:t>
      </w:r>
      <w:r w:rsidR="004C3C43" w:rsidRPr="001B61DE">
        <w:rPr>
          <w:rFonts w:cs="Times New Roman"/>
          <w:b/>
          <w:sz w:val="28"/>
          <w:szCs w:val="28"/>
        </w:rPr>
        <w:t xml:space="preserve">other </w:t>
      </w:r>
      <w:r w:rsidR="001C3A9F" w:rsidRPr="001B61DE">
        <w:rPr>
          <w:rFonts w:cs="Times New Roman"/>
          <w:b/>
          <w:sz w:val="28"/>
          <w:szCs w:val="28"/>
        </w:rPr>
        <w:t>e</w:t>
      </w:r>
      <w:r w:rsidR="004F0393" w:rsidRPr="001B61DE">
        <w:rPr>
          <w:rFonts w:cs="Times New Roman"/>
          <w:b/>
          <w:sz w:val="28"/>
          <w:szCs w:val="28"/>
        </w:rPr>
        <w:t>vidence</w:t>
      </w:r>
      <w:r w:rsidR="00C0335C" w:rsidRPr="001B61DE">
        <w:rPr>
          <w:rFonts w:cs="Times New Roman"/>
          <w:b/>
          <w:sz w:val="28"/>
          <w:szCs w:val="28"/>
        </w:rPr>
        <w:t xml:space="preserve"> </w:t>
      </w:r>
      <w:r w:rsidR="001C3A9F" w:rsidRPr="001B61DE">
        <w:rPr>
          <w:rFonts w:cs="Times New Roman"/>
          <w:b/>
          <w:sz w:val="28"/>
          <w:szCs w:val="28"/>
        </w:rPr>
        <w:t xml:space="preserve">that is the product of an illegal </w:t>
      </w:r>
      <w:r w:rsidR="006648DD" w:rsidRPr="001B61DE">
        <w:rPr>
          <w:rFonts w:cs="Times New Roman"/>
          <w:b/>
          <w:sz w:val="28"/>
          <w:szCs w:val="28"/>
        </w:rPr>
        <w:t>seizur</w:t>
      </w:r>
      <w:r w:rsidR="001A6D7B" w:rsidRPr="001B61DE">
        <w:rPr>
          <w:rFonts w:cs="Times New Roman"/>
          <w:b/>
          <w:sz w:val="28"/>
          <w:szCs w:val="28"/>
        </w:rPr>
        <w:t>e o</w:t>
      </w:r>
      <w:r w:rsidR="00513BF8" w:rsidRPr="001B61DE">
        <w:rPr>
          <w:rFonts w:cs="Times New Roman"/>
          <w:b/>
          <w:sz w:val="28"/>
          <w:szCs w:val="28"/>
        </w:rPr>
        <w:t>f or from</w:t>
      </w:r>
      <w:r w:rsidR="000B7288" w:rsidRPr="001B61DE">
        <w:rPr>
          <w:rFonts w:cs="Times New Roman"/>
          <w:b/>
          <w:sz w:val="28"/>
          <w:szCs w:val="28"/>
        </w:rPr>
        <w:t xml:space="preserve"> </w:t>
      </w:r>
      <w:r w:rsidR="004F0393" w:rsidRPr="001B61DE">
        <w:rPr>
          <w:rFonts w:cs="Times New Roman"/>
          <w:b/>
          <w:sz w:val="28"/>
          <w:szCs w:val="28"/>
        </w:rPr>
        <w:t>a defen</w:t>
      </w:r>
      <w:r w:rsidR="00E610DF" w:rsidRPr="001B61DE">
        <w:rPr>
          <w:rFonts w:cs="Times New Roman"/>
          <w:b/>
          <w:sz w:val="28"/>
          <w:szCs w:val="28"/>
        </w:rPr>
        <w:t>d</w:t>
      </w:r>
      <w:r w:rsidR="004F0393" w:rsidRPr="001B61DE">
        <w:rPr>
          <w:rFonts w:cs="Times New Roman"/>
          <w:b/>
          <w:sz w:val="28"/>
          <w:szCs w:val="28"/>
        </w:rPr>
        <w:t>ant</w:t>
      </w:r>
      <w:r w:rsidR="002F6714" w:rsidRPr="001B61DE">
        <w:rPr>
          <w:rFonts w:cs="Times New Roman"/>
          <w:b/>
          <w:sz w:val="28"/>
          <w:szCs w:val="28"/>
        </w:rPr>
        <w:t xml:space="preserve"> </w:t>
      </w:r>
      <w:r w:rsidR="00B66A6A" w:rsidRPr="001B61DE">
        <w:rPr>
          <w:rFonts w:cs="Times New Roman"/>
          <w:b/>
          <w:sz w:val="28"/>
          <w:szCs w:val="28"/>
        </w:rPr>
        <w:t xml:space="preserve">may </w:t>
      </w:r>
      <w:r w:rsidR="00EB4619" w:rsidRPr="001B61DE">
        <w:rPr>
          <w:rFonts w:cs="Times New Roman"/>
          <w:b/>
          <w:sz w:val="28"/>
          <w:szCs w:val="28"/>
        </w:rPr>
        <w:t>provide a basis for impeach</w:t>
      </w:r>
      <w:r w:rsidR="005343E1" w:rsidRPr="001B61DE">
        <w:rPr>
          <w:rFonts w:cs="Times New Roman"/>
          <w:b/>
          <w:sz w:val="28"/>
          <w:szCs w:val="28"/>
        </w:rPr>
        <w:t xml:space="preserve">ment of </w:t>
      </w:r>
      <w:r w:rsidR="00EB4619" w:rsidRPr="001B61DE">
        <w:rPr>
          <w:rFonts w:cs="Times New Roman"/>
          <w:b/>
          <w:sz w:val="28"/>
          <w:szCs w:val="28"/>
        </w:rPr>
        <w:t>a defendant</w:t>
      </w:r>
      <w:r w:rsidR="00607ADE" w:rsidRPr="001B61DE">
        <w:rPr>
          <w:rFonts w:cs="Times New Roman"/>
          <w:b/>
          <w:sz w:val="28"/>
          <w:szCs w:val="28"/>
        </w:rPr>
        <w:t xml:space="preserve"> who testifies in a manner inconsistent with </w:t>
      </w:r>
      <w:r w:rsidR="007208A2" w:rsidRPr="001B61DE">
        <w:rPr>
          <w:rFonts w:cs="Times New Roman"/>
          <w:b/>
          <w:sz w:val="28"/>
          <w:szCs w:val="28"/>
        </w:rPr>
        <w:t>his or her connection to the seized evidence</w:t>
      </w:r>
      <w:r w:rsidR="00952CF0" w:rsidRPr="001B61DE">
        <w:rPr>
          <w:rFonts w:cs="Times New Roman"/>
          <w:b/>
          <w:sz w:val="28"/>
          <w:szCs w:val="28"/>
        </w:rPr>
        <w:t>.</w:t>
      </w:r>
    </w:p>
    <w:p w14:paraId="63532152" w14:textId="07322F9E" w:rsidR="001E7E91" w:rsidRPr="001B61DE" w:rsidRDefault="001E7E91" w:rsidP="00706F04">
      <w:pPr>
        <w:spacing w:line="240" w:lineRule="auto"/>
        <w:ind w:left="0" w:right="1008"/>
        <w:rPr>
          <w:rFonts w:cs="Times New Roman"/>
          <w:b/>
          <w:strike/>
          <w:sz w:val="28"/>
          <w:szCs w:val="28"/>
        </w:rPr>
      </w:pPr>
    </w:p>
    <w:p w14:paraId="2B59784C" w14:textId="54BAF1ED" w:rsidR="001E7E91" w:rsidRPr="001B61DE" w:rsidRDefault="00A27E80" w:rsidP="00706F04">
      <w:pPr>
        <w:spacing w:line="240" w:lineRule="auto"/>
        <w:ind w:right="720"/>
        <w:rPr>
          <w:rFonts w:cs="Times New Roman"/>
          <w:b/>
          <w:sz w:val="28"/>
          <w:szCs w:val="28"/>
        </w:rPr>
      </w:pPr>
      <w:r w:rsidRPr="001B61DE">
        <w:rPr>
          <w:rFonts w:cs="Times New Roman"/>
          <w:b/>
          <w:sz w:val="28"/>
          <w:szCs w:val="28"/>
        </w:rPr>
        <w:t>(3)</w:t>
      </w:r>
      <w:r w:rsidR="00916A4A" w:rsidRPr="001B61DE">
        <w:rPr>
          <w:rFonts w:cs="Times New Roman"/>
          <w:b/>
          <w:sz w:val="28"/>
          <w:szCs w:val="28"/>
        </w:rPr>
        <w:t xml:space="preserve"> </w:t>
      </w:r>
      <w:r w:rsidR="00916A4A" w:rsidRPr="001B61DE">
        <w:rPr>
          <w:rFonts w:cs="Times New Roman"/>
          <w:b/>
          <w:bCs/>
          <w:sz w:val="28"/>
          <w:szCs w:val="28"/>
        </w:rPr>
        <w:t xml:space="preserve">While the use of an inconsistent statement or other evidence taken in violation of a constitutional directive may be used to impeach the testimony of a defendant, it may not be used, directly or indirectly, to establish the </w:t>
      </w:r>
      <w:r w:rsidR="00865513" w:rsidRPr="001B61DE">
        <w:rPr>
          <w:rFonts w:cs="Times New Roman"/>
          <w:b/>
          <w:bCs/>
          <w:sz w:val="28"/>
          <w:szCs w:val="28"/>
        </w:rPr>
        <w:t>P</w:t>
      </w:r>
      <w:r w:rsidR="00916A4A" w:rsidRPr="001B61DE">
        <w:rPr>
          <w:rFonts w:cs="Times New Roman"/>
          <w:b/>
          <w:bCs/>
          <w:sz w:val="28"/>
          <w:szCs w:val="28"/>
        </w:rPr>
        <w:t>eople</w:t>
      </w:r>
      <w:r w:rsidR="00D17B70">
        <w:rPr>
          <w:rFonts w:cs="Times New Roman"/>
          <w:b/>
          <w:bCs/>
          <w:sz w:val="28"/>
          <w:szCs w:val="28"/>
        </w:rPr>
        <w:t>’</w:t>
      </w:r>
      <w:r w:rsidR="00916A4A" w:rsidRPr="001B61DE">
        <w:rPr>
          <w:rFonts w:cs="Times New Roman"/>
          <w:b/>
          <w:bCs/>
          <w:sz w:val="28"/>
          <w:szCs w:val="28"/>
        </w:rPr>
        <w:t>s case.</w:t>
      </w:r>
    </w:p>
    <w:p w14:paraId="41735D20" w14:textId="77777777" w:rsidR="004E0F4B" w:rsidRPr="001B61DE" w:rsidRDefault="004E0F4B" w:rsidP="00706F04">
      <w:pPr>
        <w:spacing w:line="240" w:lineRule="auto"/>
        <w:ind w:left="0" w:right="1008"/>
        <w:rPr>
          <w:rFonts w:cs="Times New Roman"/>
          <w:b/>
          <w:sz w:val="28"/>
          <w:szCs w:val="28"/>
        </w:rPr>
      </w:pPr>
    </w:p>
    <w:p w14:paraId="19E6C67F" w14:textId="2D14DA09" w:rsidR="009E777F" w:rsidRPr="001B61DE" w:rsidRDefault="009E777F" w:rsidP="00706F04">
      <w:pPr>
        <w:spacing w:line="240" w:lineRule="auto"/>
        <w:ind w:left="0"/>
        <w:jc w:val="center"/>
        <w:rPr>
          <w:rFonts w:cs="Times New Roman"/>
          <w:b/>
          <w:sz w:val="28"/>
          <w:szCs w:val="28"/>
        </w:rPr>
      </w:pPr>
      <w:r w:rsidRPr="001B61DE">
        <w:rPr>
          <w:rFonts w:cs="Times New Roman"/>
          <w:b/>
          <w:sz w:val="28"/>
          <w:szCs w:val="28"/>
        </w:rPr>
        <w:t>Note</w:t>
      </w:r>
    </w:p>
    <w:p w14:paraId="13FD4617" w14:textId="77777777" w:rsidR="004E0F4B" w:rsidRPr="001B61DE" w:rsidRDefault="004E0F4B" w:rsidP="00706F04">
      <w:pPr>
        <w:pStyle w:val="ListParagraph"/>
        <w:spacing w:line="240" w:lineRule="auto"/>
        <w:ind w:left="0"/>
        <w:jc w:val="left"/>
        <w:rPr>
          <w:rFonts w:cs="Times New Roman"/>
          <w:b/>
          <w:szCs w:val="24"/>
        </w:rPr>
      </w:pPr>
    </w:p>
    <w:p w14:paraId="422C9565" w14:textId="63320DB5" w:rsidR="00FC1AC6" w:rsidRPr="001B61DE" w:rsidRDefault="00ED3425" w:rsidP="00706F04">
      <w:pPr>
        <w:shd w:val="clear" w:color="auto" w:fill="FFFFFF"/>
        <w:spacing w:line="240" w:lineRule="auto"/>
        <w:ind w:left="0"/>
        <w:rPr>
          <w:rFonts w:eastAsia="Calibri" w:cs="Times New Roman"/>
          <w:szCs w:val="24"/>
        </w:rPr>
      </w:pPr>
      <w:r w:rsidRPr="001B61DE">
        <w:rPr>
          <w:rFonts w:cs="Times New Roman"/>
          <w:bCs/>
          <w:szCs w:val="24"/>
        </w:rPr>
        <w:tab/>
      </w:r>
      <w:r w:rsidR="004439DE" w:rsidRPr="001B61DE">
        <w:rPr>
          <w:rFonts w:cs="Times New Roman"/>
          <w:b/>
          <w:szCs w:val="24"/>
        </w:rPr>
        <w:t>Introduction.</w:t>
      </w:r>
      <w:r w:rsidR="004439DE" w:rsidRPr="001B61DE">
        <w:rPr>
          <w:rFonts w:cs="Times New Roman"/>
          <w:bCs/>
          <w:szCs w:val="24"/>
        </w:rPr>
        <w:t xml:space="preserve">  </w:t>
      </w:r>
      <w:r w:rsidR="00837D33" w:rsidRPr="001B61DE">
        <w:rPr>
          <w:rFonts w:eastAsia="Times New Roman" w:cs="Times New Roman"/>
          <w:szCs w:val="24"/>
        </w:rPr>
        <w:t xml:space="preserve">The </w:t>
      </w:r>
      <w:r w:rsidR="00860CAB" w:rsidRPr="001B61DE">
        <w:rPr>
          <w:rFonts w:eastAsia="Times New Roman" w:cs="Times New Roman"/>
          <w:szCs w:val="24"/>
        </w:rPr>
        <w:t xml:space="preserve">rationale </w:t>
      </w:r>
      <w:r w:rsidR="00837D33" w:rsidRPr="001B61DE">
        <w:rPr>
          <w:rFonts w:eastAsia="Times New Roman" w:cs="Times New Roman"/>
          <w:szCs w:val="24"/>
        </w:rPr>
        <w:t>underlying th</w:t>
      </w:r>
      <w:r w:rsidR="00B056A5" w:rsidRPr="001B61DE">
        <w:rPr>
          <w:rFonts w:eastAsia="Times New Roman" w:cs="Times New Roman"/>
          <w:szCs w:val="24"/>
        </w:rPr>
        <w:t>is</w:t>
      </w:r>
      <w:r w:rsidR="00837D33" w:rsidRPr="001B61DE">
        <w:rPr>
          <w:rFonts w:eastAsia="Times New Roman" w:cs="Times New Roman"/>
          <w:szCs w:val="24"/>
        </w:rPr>
        <w:t xml:space="preserve"> rule is that</w:t>
      </w:r>
      <w:r w:rsidR="00B03EE8" w:rsidRPr="001B61DE">
        <w:rPr>
          <w:rFonts w:eastAsia="Times New Roman" w:cs="Times New Roman"/>
          <w:szCs w:val="24"/>
        </w:rPr>
        <w:t>,</w:t>
      </w:r>
      <w:r w:rsidR="00837D33" w:rsidRPr="001B61DE">
        <w:rPr>
          <w:rFonts w:eastAsia="Times New Roman" w:cs="Times New Roman"/>
          <w:szCs w:val="24"/>
        </w:rPr>
        <w:t xml:space="preserve"> </w:t>
      </w:r>
      <w:r w:rsidR="004E0F4B" w:rsidRPr="001B61DE">
        <w:rPr>
          <w:rFonts w:eastAsia="Times New Roman" w:cs="Times New Roman"/>
          <w:szCs w:val="24"/>
        </w:rPr>
        <w:t>absent the rule</w:t>
      </w:r>
      <w:r w:rsidR="00B03EE8" w:rsidRPr="001B61DE">
        <w:rPr>
          <w:rFonts w:eastAsia="Times New Roman" w:cs="Times New Roman"/>
          <w:szCs w:val="24"/>
        </w:rPr>
        <w:t>,</w:t>
      </w:r>
      <w:r w:rsidR="004E0F4B" w:rsidRPr="001B61DE">
        <w:rPr>
          <w:rFonts w:eastAsia="Times New Roman" w:cs="Times New Roman"/>
          <w:szCs w:val="24"/>
        </w:rPr>
        <w:t xml:space="preserve"> </w:t>
      </w:r>
      <w:r w:rsidR="00837D33" w:rsidRPr="001B61DE">
        <w:rPr>
          <w:rFonts w:eastAsia="Times New Roman" w:cs="Times New Roman"/>
          <w:szCs w:val="24"/>
        </w:rPr>
        <w:t>a “</w:t>
      </w:r>
      <w:r w:rsidR="00BF2833" w:rsidRPr="001B61DE">
        <w:rPr>
          <w:rFonts w:eastAsia="Times New Roman" w:cs="Times New Roman"/>
          <w:szCs w:val="24"/>
        </w:rPr>
        <w:t>defendant</w:t>
      </w:r>
      <w:r w:rsidR="00D17B70">
        <w:rPr>
          <w:rFonts w:eastAsia="Times New Roman" w:cs="Times New Roman"/>
          <w:szCs w:val="24"/>
        </w:rPr>
        <w:t>’</w:t>
      </w:r>
      <w:r w:rsidR="00BF2833" w:rsidRPr="001B61DE">
        <w:rPr>
          <w:rFonts w:eastAsia="Times New Roman" w:cs="Times New Roman"/>
          <w:szCs w:val="24"/>
        </w:rPr>
        <w:t xml:space="preserve">s constitutional shield against having illegally seized evidence used against him could be perverted into a license to use perjury by way of a defense, free from the risk of confrontation with prior inconsistent utterances” </w:t>
      </w:r>
      <w:r w:rsidR="00B9235A" w:rsidRPr="001B61DE">
        <w:rPr>
          <w:rFonts w:eastAsia="Times New Roman" w:cs="Times New Roman"/>
          <w:szCs w:val="24"/>
        </w:rPr>
        <w:t xml:space="preserve">or </w:t>
      </w:r>
      <w:r w:rsidR="00261B55" w:rsidRPr="001B61DE">
        <w:rPr>
          <w:rFonts w:eastAsia="Times New Roman" w:cs="Times New Roman"/>
          <w:szCs w:val="24"/>
        </w:rPr>
        <w:t xml:space="preserve">other </w:t>
      </w:r>
      <w:r w:rsidR="00B9235A" w:rsidRPr="001B61DE">
        <w:rPr>
          <w:rFonts w:eastAsia="Times New Roman" w:cs="Times New Roman"/>
          <w:szCs w:val="24"/>
        </w:rPr>
        <w:t xml:space="preserve">evidence </w:t>
      </w:r>
      <w:r w:rsidR="00914739" w:rsidRPr="001B61DE">
        <w:rPr>
          <w:rFonts w:eastAsia="Times New Roman" w:cs="Times New Roman"/>
          <w:szCs w:val="24"/>
        </w:rPr>
        <w:t xml:space="preserve">illegally </w:t>
      </w:r>
      <w:r w:rsidR="00B9235A" w:rsidRPr="001B61DE">
        <w:rPr>
          <w:rFonts w:eastAsia="Times New Roman" w:cs="Times New Roman"/>
          <w:szCs w:val="24"/>
        </w:rPr>
        <w:t>seized from the defendant</w:t>
      </w:r>
      <w:r w:rsidR="00261B55" w:rsidRPr="001B61DE">
        <w:rPr>
          <w:rFonts w:eastAsia="Times New Roman" w:cs="Times New Roman"/>
          <w:szCs w:val="24"/>
        </w:rPr>
        <w:t xml:space="preserve"> </w:t>
      </w:r>
      <w:r w:rsidR="00506139" w:rsidRPr="001B61DE">
        <w:rPr>
          <w:rFonts w:eastAsia="Times New Roman" w:cs="Times New Roman"/>
          <w:szCs w:val="24"/>
        </w:rPr>
        <w:t>(</w:t>
      </w:r>
      <w:r w:rsidR="00BF2833" w:rsidRPr="001B61DE">
        <w:rPr>
          <w:rFonts w:eastAsia="Times New Roman" w:cs="Times New Roman"/>
          <w:i/>
          <w:iCs/>
          <w:szCs w:val="24"/>
        </w:rPr>
        <w:t>United States v Havens</w:t>
      </w:r>
      <w:r w:rsidR="00BF2833" w:rsidRPr="001B61DE">
        <w:rPr>
          <w:rFonts w:eastAsia="Times New Roman" w:cs="Times New Roman"/>
          <w:szCs w:val="24"/>
        </w:rPr>
        <w:t>, 446 US 620, 626 [1980]</w:t>
      </w:r>
      <w:r w:rsidR="00837D33" w:rsidRPr="001B61DE">
        <w:rPr>
          <w:rFonts w:eastAsia="Times New Roman" w:cs="Times New Roman"/>
          <w:szCs w:val="24"/>
        </w:rPr>
        <w:t xml:space="preserve"> [</w:t>
      </w:r>
      <w:r w:rsidR="00CB187B" w:rsidRPr="001B61DE">
        <w:rPr>
          <w:rFonts w:eastAsia="Times New Roman" w:cs="Times New Roman"/>
          <w:szCs w:val="24"/>
        </w:rPr>
        <w:t xml:space="preserve">internal </w:t>
      </w:r>
      <w:r w:rsidR="00961B10" w:rsidRPr="001B61DE">
        <w:rPr>
          <w:rFonts w:eastAsia="Times New Roman" w:cs="Times New Roman"/>
          <w:szCs w:val="24"/>
        </w:rPr>
        <w:t>quotation marks omitted]</w:t>
      </w:r>
      <w:r w:rsidR="00287050" w:rsidRPr="001B61DE">
        <w:rPr>
          <w:rFonts w:eastAsia="Times New Roman" w:cs="Times New Roman"/>
          <w:szCs w:val="24"/>
        </w:rPr>
        <w:t xml:space="preserve">; </w:t>
      </w:r>
      <w:r w:rsidR="00287050" w:rsidRPr="001B61DE">
        <w:rPr>
          <w:rFonts w:eastAsia="Times New Roman" w:cs="Times New Roman"/>
          <w:i/>
          <w:iCs/>
          <w:szCs w:val="24"/>
        </w:rPr>
        <w:t>see</w:t>
      </w:r>
      <w:r w:rsidR="00287050" w:rsidRPr="001B61DE">
        <w:rPr>
          <w:rFonts w:eastAsia="Times New Roman" w:cs="Times New Roman"/>
          <w:szCs w:val="24"/>
        </w:rPr>
        <w:t xml:space="preserve"> </w:t>
      </w:r>
      <w:r w:rsidR="00C92EE0" w:rsidRPr="001B61DE">
        <w:rPr>
          <w:rFonts w:eastAsia="Times New Roman" w:cs="Times New Roman"/>
          <w:i/>
          <w:iCs/>
          <w:szCs w:val="24"/>
        </w:rPr>
        <w:t>People v Johnson</w:t>
      </w:r>
      <w:r w:rsidR="00C92EE0" w:rsidRPr="001B61DE">
        <w:rPr>
          <w:rFonts w:eastAsia="Times New Roman" w:cs="Times New Roman"/>
          <w:szCs w:val="24"/>
        </w:rPr>
        <w:t>, 27 NY2d 119, 122 [1970]</w:t>
      </w:r>
      <w:r w:rsidR="00666F70" w:rsidRPr="001B61DE">
        <w:rPr>
          <w:rFonts w:eastAsia="Times New Roman" w:cs="Times New Roman"/>
          <w:szCs w:val="24"/>
        </w:rPr>
        <w:t xml:space="preserve"> [“</w:t>
      </w:r>
      <w:r w:rsidR="00C92EE0" w:rsidRPr="001B61DE">
        <w:rPr>
          <w:rFonts w:eastAsia="Times New Roman" w:cs="Times New Roman"/>
          <w:szCs w:val="24"/>
        </w:rPr>
        <w:t>the constitutional privilege ought to shield a man against unfairness by the State in using such a statement in his prosecution, but should not immunize him from inquiry when he affirmatively proffers testimony as part of a strategy in contested litigation in which truth is a critical ingredient</w:t>
      </w:r>
      <w:r w:rsidR="00666F70" w:rsidRPr="001B61DE">
        <w:rPr>
          <w:rFonts w:eastAsia="Times New Roman" w:cs="Times New Roman"/>
          <w:szCs w:val="24"/>
        </w:rPr>
        <w:t>”]</w:t>
      </w:r>
      <w:r w:rsidR="00287050" w:rsidRPr="001B61DE">
        <w:rPr>
          <w:rFonts w:eastAsia="Times New Roman" w:cs="Times New Roman"/>
          <w:szCs w:val="24"/>
        </w:rPr>
        <w:t>)</w:t>
      </w:r>
      <w:r w:rsidR="00882847" w:rsidRPr="001B61DE">
        <w:rPr>
          <w:rFonts w:eastAsia="Times New Roman" w:cs="Times New Roman"/>
          <w:szCs w:val="24"/>
        </w:rPr>
        <w:t>.</w:t>
      </w:r>
      <w:r w:rsidR="00FC1AC6" w:rsidRPr="001B61DE">
        <w:rPr>
          <w:rFonts w:eastAsia="Times New Roman" w:cs="Times New Roman"/>
          <w:b/>
          <w:bCs/>
          <w:szCs w:val="24"/>
        </w:rPr>
        <w:t xml:space="preserve"> </w:t>
      </w:r>
      <w:bookmarkStart w:id="0" w:name="_Hlk56693844"/>
      <w:r w:rsidR="00FC1AC6" w:rsidRPr="001B61DE">
        <w:rPr>
          <w:rFonts w:eastAsia="Times New Roman" w:cs="Times New Roman"/>
          <w:szCs w:val="24"/>
        </w:rPr>
        <w:t>The use of an inconsistent statement or other evidence taken in violation of a constitutional directive, however, is limited to impeachment of a defendant who testifies on his or her behalf</w:t>
      </w:r>
      <w:r w:rsidR="00FC1AC6" w:rsidRPr="001B61DE">
        <w:rPr>
          <w:rFonts w:eastAsia="Calibri" w:cs="Times New Roman"/>
          <w:szCs w:val="24"/>
        </w:rPr>
        <w:t xml:space="preserve"> and “may not be used, directly or indirectly, to establish the People</w:t>
      </w:r>
      <w:r w:rsidR="00D17B70">
        <w:rPr>
          <w:rFonts w:eastAsia="Calibri" w:cs="Times New Roman"/>
          <w:szCs w:val="24"/>
        </w:rPr>
        <w:t>’</w:t>
      </w:r>
      <w:r w:rsidR="00FC1AC6" w:rsidRPr="001B61DE">
        <w:rPr>
          <w:rFonts w:eastAsia="Calibri" w:cs="Times New Roman"/>
          <w:szCs w:val="24"/>
        </w:rPr>
        <w:t>s case”</w:t>
      </w:r>
      <w:r w:rsidR="007B50DE" w:rsidRPr="001B61DE">
        <w:rPr>
          <w:rFonts w:eastAsia="Calibri" w:cs="Times New Roman"/>
          <w:szCs w:val="24"/>
        </w:rPr>
        <w:t xml:space="preserve"> (</w:t>
      </w:r>
      <w:r w:rsidR="00FC1AC6" w:rsidRPr="001B61DE">
        <w:rPr>
          <w:rFonts w:eastAsia="Calibri" w:cs="Times New Roman"/>
          <w:i/>
          <w:iCs/>
          <w:szCs w:val="24"/>
        </w:rPr>
        <w:t>People v Ricco</w:t>
      </w:r>
      <w:r w:rsidR="00FC1AC6" w:rsidRPr="001B61DE">
        <w:rPr>
          <w:rFonts w:eastAsia="Calibri" w:cs="Times New Roman"/>
          <w:szCs w:val="24"/>
        </w:rPr>
        <w:t>, 56 NY2d 320, 323 [1982]</w:t>
      </w:r>
      <w:r w:rsidR="007B50DE" w:rsidRPr="001B61DE">
        <w:rPr>
          <w:rFonts w:eastAsia="Calibri" w:cs="Times New Roman"/>
          <w:szCs w:val="24"/>
        </w:rPr>
        <w:t>)</w:t>
      </w:r>
      <w:r w:rsidR="00FC1AC6" w:rsidRPr="001B61DE">
        <w:rPr>
          <w:rFonts w:eastAsia="Calibri" w:cs="Times New Roman"/>
          <w:szCs w:val="24"/>
        </w:rPr>
        <w:t>.</w:t>
      </w:r>
    </w:p>
    <w:p w14:paraId="54957A5C" w14:textId="77777777" w:rsidR="00706F04" w:rsidRPr="001B61DE" w:rsidRDefault="00706F04" w:rsidP="00706F04">
      <w:pPr>
        <w:shd w:val="clear" w:color="auto" w:fill="FFFFFF"/>
        <w:spacing w:line="240" w:lineRule="auto"/>
        <w:ind w:left="0"/>
        <w:rPr>
          <w:rFonts w:eastAsia="Calibri" w:cs="Times New Roman"/>
          <w:szCs w:val="24"/>
        </w:rPr>
      </w:pPr>
    </w:p>
    <w:bookmarkEnd w:id="0"/>
    <w:p w14:paraId="7219F008" w14:textId="26F2440E" w:rsidR="00282643" w:rsidRPr="001B61DE" w:rsidRDefault="00706F04" w:rsidP="00706F04">
      <w:pPr>
        <w:tabs>
          <w:tab w:val="left" w:pos="720"/>
        </w:tabs>
        <w:spacing w:line="240" w:lineRule="auto"/>
        <w:ind w:left="0"/>
        <w:rPr>
          <w:rFonts w:cs="Times New Roman"/>
          <w:bCs/>
          <w:szCs w:val="24"/>
        </w:rPr>
      </w:pPr>
      <w:r w:rsidRPr="001B61DE">
        <w:rPr>
          <w:rFonts w:cs="Times New Roman"/>
          <w:b/>
          <w:szCs w:val="24"/>
        </w:rPr>
        <w:tab/>
      </w:r>
      <w:r w:rsidR="002975AB" w:rsidRPr="001B61DE">
        <w:rPr>
          <w:rFonts w:cs="Times New Roman"/>
          <w:b/>
          <w:szCs w:val="24"/>
        </w:rPr>
        <w:t>Subdivision (1)</w:t>
      </w:r>
      <w:r w:rsidR="0025254A" w:rsidRPr="001B61DE">
        <w:rPr>
          <w:rFonts w:cs="Times New Roman"/>
          <w:bCs/>
          <w:szCs w:val="24"/>
        </w:rPr>
        <w:t xml:space="preserve"> is derived from both United States Supreme Court and New York Court of Appeals </w:t>
      </w:r>
      <w:r w:rsidR="003C1814" w:rsidRPr="001B61DE">
        <w:rPr>
          <w:rFonts w:cs="Times New Roman"/>
          <w:bCs/>
          <w:szCs w:val="24"/>
        </w:rPr>
        <w:t>decisions.</w:t>
      </w:r>
    </w:p>
    <w:p w14:paraId="54B5793C" w14:textId="77777777" w:rsidR="00282643" w:rsidRPr="001B61DE" w:rsidRDefault="00282643" w:rsidP="00706F04">
      <w:pPr>
        <w:spacing w:line="240" w:lineRule="auto"/>
        <w:ind w:left="0"/>
        <w:rPr>
          <w:rFonts w:cs="Times New Roman"/>
          <w:bCs/>
          <w:szCs w:val="24"/>
        </w:rPr>
      </w:pPr>
    </w:p>
    <w:p w14:paraId="10B1B046" w14:textId="644D0B3D" w:rsidR="00CB237D" w:rsidRPr="001B61DE" w:rsidRDefault="00706F04" w:rsidP="00706F04">
      <w:pPr>
        <w:tabs>
          <w:tab w:val="left" w:pos="720"/>
        </w:tabs>
        <w:spacing w:line="240" w:lineRule="auto"/>
        <w:ind w:left="0"/>
        <w:rPr>
          <w:rFonts w:cs="Times New Roman"/>
          <w:bCs/>
          <w:szCs w:val="24"/>
        </w:rPr>
      </w:pPr>
      <w:r w:rsidRPr="001B61DE">
        <w:rPr>
          <w:rFonts w:cs="Times New Roman"/>
          <w:bCs/>
          <w:szCs w:val="24"/>
        </w:rPr>
        <w:tab/>
      </w:r>
      <w:r w:rsidR="00282643" w:rsidRPr="001B61DE">
        <w:rPr>
          <w:rFonts w:cs="Times New Roman"/>
          <w:bCs/>
          <w:szCs w:val="24"/>
        </w:rPr>
        <w:t>The princip</w:t>
      </w:r>
      <w:r w:rsidR="00882847" w:rsidRPr="001B61DE">
        <w:rPr>
          <w:rFonts w:cs="Times New Roman"/>
          <w:bCs/>
          <w:szCs w:val="24"/>
        </w:rPr>
        <w:t xml:space="preserve">al </w:t>
      </w:r>
      <w:r w:rsidR="00282643" w:rsidRPr="001B61DE">
        <w:rPr>
          <w:rFonts w:cs="Times New Roman"/>
          <w:bCs/>
          <w:szCs w:val="24"/>
        </w:rPr>
        <w:t>decisions in the Unite</w:t>
      </w:r>
      <w:r w:rsidR="00C5038C" w:rsidRPr="001B61DE">
        <w:rPr>
          <w:rFonts w:cs="Times New Roman"/>
          <w:bCs/>
          <w:szCs w:val="24"/>
        </w:rPr>
        <w:t>d</w:t>
      </w:r>
      <w:r w:rsidR="00282643" w:rsidRPr="001B61DE">
        <w:rPr>
          <w:rFonts w:cs="Times New Roman"/>
          <w:bCs/>
          <w:szCs w:val="24"/>
        </w:rPr>
        <w:t xml:space="preserve"> States Supreme Court are</w:t>
      </w:r>
      <w:r w:rsidR="0025254A" w:rsidRPr="001B61DE">
        <w:rPr>
          <w:rFonts w:cs="Times New Roman"/>
          <w:bCs/>
          <w:szCs w:val="24"/>
        </w:rPr>
        <w:t xml:space="preserve"> </w:t>
      </w:r>
      <w:r w:rsidR="0025254A" w:rsidRPr="001B61DE">
        <w:rPr>
          <w:rFonts w:cs="Times New Roman"/>
          <w:bCs/>
          <w:i/>
          <w:iCs/>
          <w:szCs w:val="24"/>
        </w:rPr>
        <w:t>Harris v New York</w:t>
      </w:r>
      <w:r w:rsidR="00287050" w:rsidRPr="001B61DE">
        <w:rPr>
          <w:rFonts w:cs="Times New Roman"/>
          <w:bCs/>
          <w:szCs w:val="24"/>
        </w:rPr>
        <w:t xml:space="preserve"> (</w:t>
      </w:r>
      <w:r w:rsidR="0025254A" w:rsidRPr="001B61DE">
        <w:rPr>
          <w:rFonts w:cs="Times New Roman"/>
          <w:bCs/>
          <w:szCs w:val="24"/>
        </w:rPr>
        <w:t>401 US 222 [1971]</w:t>
      </w:r>
      <w:r w:rsidR="007B50DE" w:rsidRPr="001B61DE">
        <w:rPr>
          <w:rFonts w:cs="Times New Roman"/>
          <w:bCs/>
          <w:szCs w:val="24"/>
        </w:rPr>
        <w:t>,</w:t>
      </w:r>
      <w:r w:rsidR="0025254A" w:rsidRPr="001B61DE">
        <w:rPr>
          <w:rFonts w:cs="Times New Roman"/>
          <w:bCs/>
          <w:szCs w:val="24"/>
        </w:rPr>
        <w:t xml:space="preserve"> </w:t>
      </w:r>
      <w:r w:rsidR="0025254A" w:rsidRPr="001B61DE">
        <w:rPr>
          <w:rFonts w:cs="Times New Roman"/>
          <w:bCs/>
          <w:i/>
          <w:iCs/>
          <w:szCs w:val="24"/>
        </w:rPr>
        <w:t>affg</w:t>
      </w:r>
      <w:r w:rsidR="0025254A" w:rsidRPr="001B61DE">
        <w:rPr>
          <w:rFonts w:cs="Times New Roman"/>
          <w:bCs/>
          <w:szCs w:val="24"/>
        </w:rPr>
        <w:t xml:space="preserve"> </w:t>
      </w:r>
      <w:r w:rsidR="0025254A" w:rsidRPr="001B61DE">
        <w:rPr>
          <w:rFonts w:cs="Times New Roman"/>
          <w:bCs/>
          <w:i/>
          <w:iCs/>
          <w:szCs w:val="24"/>
        </w:rPr>
        <w:t>People v Harris</w:t>
      </w:r>
      <w:r w:rsidR="0025254A" w:rsidRPr="001B61DE">
        <w:rPr>
          <w:rFonts w:cs="Times New Roman"/>
          <w:bCs/>
          <w:iCs/>
          <w:szCs w:val="24"/>
        </w:rPr>
        <w:t>,</w:t>
      </w:r>
      <w:r w:rsidR="0025254A" w:rsidRPr="001B61DE">
        <w:rPr>
          <w:rFonts w:cs="Times New Roman"/>
          <w:bCs/>
          <w:szCs w:val="24"/>
        </w:rPr>
        <w:t xml:space="preserve"> </w:t>
      </w:r>
      <w:r w:rsidR="0025254A" w:rsidRPr="001B61DE">
        <w:rPr>
          <w:rFonts w:cs="Times New Roman"/>
          <w:bCs/>
          <w:szCs w:val="24"/>
          <w:lang w:val="x-none"/>
        </w:rPr>
        <w:t xml:space="preserve">25 </w:t>
      </w:r>
      <w:r w:rsidR="00E4236F" w:rsidRPr="001B61DE">
        <w:rPr>
          <w:rFonts w:cs="Times New Roman"/>
          <w:bCs/>
          <w:szCs w:val="24"/>
          <w:lang w:val="x-none"/>
        </w:rPr>
        <w:t>NY</w:t>
      </w:r>
      <w:r w:rsidR="0025254A" w:rsidRPr="001B61DE">
        <w:rPr>
          <w:rFonts w:cs="Times New Roman"/>
          <w:bCs/>
          <w:szCs w:val="24"/>
          <w:lang w:val="x-none"/>
        </w:rPr>
        <w:t>2d 175</w:t>
      </w:r>
      <w:r w:rsidR="0025254A" w:rsidRPr="001B61DE">
        <w:rPr>
          <w:rFonts w:cs="Times New Roman"/>
          <w:bCs/>
          <w:szCs w:val="24"/>
        </w:rPr>
        <w:t xml:space="preserve"> </w:t>
      </w:r>
      <w:r w:rsidR="002E4A26" w:rsidRPr="001B61DE">
        <w:rPr>
          <w:rFonts w:cs="Times New Roman"/>
          <w:bCs/>
          <w:szCs w:val="24"/>
        </w:rPr>
        <w:t>[</w:t>
      </w:r>
      <w:r w:rsidR="0025254A" w:rsidRPr="001B61DE">
        <w:rPr>
          <w:rFonts w:cs="Times New Roman"/>
          <w:bCs/>
          <w:szCs w:val="24"/>
          <w:lang w:val="x-none"/>
        </w:rPr>
        <w:t>1969</w:t>
      </w:r>
      <w:r w:rsidR="002E4A26" w:rsidRPr="001B61DE">
        <w:rPr>
          <w:rFonts w:cs="Times New Roman"/>
          <w:bCs/>
          <w:szCs w:val="24"/>
        </w:rPr>
        <w:t>]</w:t>
      </w:r>
      <w:r w:rsidR="0025254A" w:rsidRPr="001B61DE">
        <w:rPr>
          <w:rFonts w:cs="Times New Roman"/>
          <w:bCs/>
          <w:szCs w:val="24"/>
        </w:rPr>
        <w:t xml:space="preserve"> [a </w:t>
      </w:r>
      <w:r w:rsidR="0025254A" w:rsidRPr="001B61DE">
        <w:rPr>
          <w:rFonts w:cs="Times New Roman"/>
          <w:bCs/>
          <w:szCs w:val="24"/>
        </w:rPr>
        <w:lastRenderedPageBreak/>
        <w:t xml:space="preserve">defendant’s voluntary statement made to police </w:t>
      </w:r>
      <w:r w:rsidR="008969FB" w:rsidRPr="001B61DE">
        <w:rPr>
          <w:rFonts w:cs="Times New Roman"/>
          <w:bCs/>
          <w:szCs w:val="24"/>
        </w:rPr>
        <w:t xml:space="preserve">that was </w:t>
      </w:r>
      <w:r w:rsidR="0025254A" w:rsidRPr="001B61DE">
        <w:rPr>
          <w:rFonts w:cs="Times New Roman"/>
          <w:bCs/>
          <w:szCs w:val="24"/>
        </w:rPr>
        <w:t>inadmissible on</w:t>
      </w:r>
      <w:r w:rsidR="00597EAA" w:rsidRPr="001B61DE">
        <w:rPr>
          <w:rFonts w:cs="Times New Roman"/>
          <w:bCs/>
          <w:szCs w:val="24"/>
        </w:rPr>
        <w:t xml:space="preserve"> </w:t>
      </w:r>
      <w:r w:rsidR="0025254A" w:rsidRPr="001B61DE">
        <w:rPr>
          <w:rFonts w:cs="Times New Roman"/>
          <w:bCs/>
          <w:szCs w:val="24"/>
        </w:rPr>
        <w:t>the prosecution</w:t>
      </w:r>
      <w:r w:rsidR="00D17B70">
        <w:rPr>
          <w:rFonts w:cs="Times New Roman"/>
          <w:bCs/>
          <w:szCs w:val="24"/>
        </w:rPr>
        <w:t>’</w:t>
      </w:r>
      <w:r w:rsidR="0025254A" w:rsidRPr="001B61DE">
        <w:rPr>
          <w:rFonts w:cs="Times New Roman"/>
          <w:bCs/>
          <w:szCs w:val="24"/>
        </w:rPr>
        <w:t xml:space="preserve">s case in chief </w:t>
      </w:r>
      <w:r w:rsidR="00597EAA" w:rsidRPr="001B61DE">
        <w:rPr>
          <w:rFonts w:cs="Times New Roman"/>
          <w:bCs/>
          <w:szCs w:val="24"/>
        </w:rPr>
        <w:t xml:space="preserve">because it was taken in violation of the required </w:t>
      </w:r>
      <w:r w:rsidR="00E4236F" w:rsidRPr="001B61DE">
        <w:rPr>
          <w:rFonts w:cs="Times New Roman"/>
          <w:bCs/>
          <w:szCs w:val="24"/>
        </w:rPr>
        <w:t>pre-interrogation</w:t>
      </w:r>
      <w:r w:rsidR="00597EAA" w:rsidRPr="001B61DE">
        <w:rPr>
          <w:rFonts w:cs="Times New Roman"/>
          <w:bCs/>
          <w:szCs w:val="24"/>
        </w:rPr>
        <w:t xml:space="preserve"> warnings of </w:t>
      </w:r>
      <w:r w:rsidR="0025254A" w:rsidRPr="001B61DE">
        <w:rPr>
          <w:rFonts w:cs="Times New Roman"/>
          <w:bCs/>
          <w:i/>
          <w:iCs/>
          <w:szCs w:val="24"/>
        </w:rPr>
        <w:t>Miranda v Arizona</w:t>
      </w:r>
      <w:r w:rsidR="0025254A" w:rsidRPr="001B61DE">
        <w:rPr>
          <w:rFonts w:cs="Times New Roman"/>
          <w:bCs/>
          <w:szCs w:val="24"/>
        </w:rPr>
        <w:t xml:space="preserve"> </w:t>
      </w:r>
      <w:r w:rsidR="0083678B" w:rsidRPr="001B61DE">
        <w:rPr>
          <w:rFonts w:cs="Times New Roman"/>
          <w:bCs/>
          <w:szCs w:val="24"/>
        </w:rPr>
        <w:t>(</w:t>
      </w:r>
      <w:r w:rsidR="0025254A" w:rsidRPr="001B61DE">
        <w:rPr>
          <w:rFonts w:cs="Times New Roman"/>
          <w:bCs/>
          <w:szCs w:val="24"/>
        </w:rPr>
        <w:t xml:space="preserve">384 </w:t>
      </w:r>
      <w:r w:rsidR="00E4236F" w:rsidRPr="001B61DE">
        <w:rPr>
          <w:rFonts w:cs="Times New Roman"/>
          <w:bCs/>
          <w:szCs w:val="24"/>
        </w:rPr>
        <w:t>US</w:t>
      </w:r>
      <w:r w:rsidR="0025254A" w:rsidRPr="001B61DE">
        <w:rPr>
          <w:rFonts w:cs="Times New Roman"/>
          <w:bCs/>
          <w:szCs w:val="24"/>
        </w:rPr>
        <w:t xml:space="preserve"> 436</w:t>
      </w:r>
      <w:r w:rsidR="00994E01" w:rsidRPr="001B61DE">
        <w:rPr>
          <w:rFonts w:cs="Times New Roman"/>
          <w:bCs/>
          <w:szCs w:val="24"/>
        </w:rPr>
        <w:t xml:space="preserve"> </w:t>
      </w:r>
      <w:r w:rsidR="0025254A" w:rsidRPr="001B61DE">
        <w:rPr>
          <w:rFonts w:cs="Times New Roman"/>
          <w:bCs/>
          <w:szCs w:val="24"/>
        </w:rPr>
        <w:t>[1966]</w:t>
      </w:r>
      <w:r w:rsidR="0083678B" w:rsidRPr="001B61DE">
        <w:rPr>
          <w:rFonts w:cs="Times New Roman"/>
          <w:bCs/>
          <w:szCs w:val="24"/>
        </w:rPr>
        <w:t>)</w:t>
      </w:r>
      <w:r w:rsidR="0025254A" w:rsidRPr="001B61DE">
        <w:rPr>
          <w:rFonts w:cs="Times New Roman"/>
          <w:bCs/>
          <w:szCs w:val="24"/>
        </w:rPr>
        <w:t xml:space="preserve"> may be used to impeach the defendant’s credibility</w:t>
      </w:r>
      <w:r w:rsidR="00284435" w:rsidRPr="001B61DE">
        <w:rPr>
          <w:rFonts w:cs="Times New Roman"/>
          <w:bCs/>
          <w:szCs w:val="24"/>
        </w:rPr>
        <w:t>]</w:t>
      </w:r>
      <w:r w:rsidR="00C5038C" w:rsidRPr="001B61DE">
        <w:rPr>
          <w:rFonts w:cs="Times New Roman"/>
          <w:bCs/>
          <w:szCs w:val="24"/>
        </w:rPr>
        <w:t>) and</w:t>
      </w:r>
      <w:r w:rsidR="003D1101" w:rsidRPr="001B61DE">
        <w:rPr>
          <w:rFonts w:cs="Times New Roman"/>
          <w:bCs/>
          <w:szCs w:val="24"/>
        </w:rPr>
        <w:t xml:space="preserve"> </w:t>
      </w:r>
      <w:r w:rsidR="006B66FB" w:rsidRPr="001B61DE">
        <w:rPr>
          <w:rFonts w:cs="Times New Roman"/>
          <w:bCs/>
          <w:i/>
          <w:iCs/>
          <w:szCs w:val="24"/>
        </w:rPr>
        <w:t>Oregon v Hass</w:t>
      </w:r>
      <w:r w:rsidR="006B66FB" w:rsidRPr="001B61DE">
        <w:rPr>
          <w:rFonts w:cs="Times New Roman"/>
          <w:bCs/>
          <w:szCs w:val="24"/>
        </w:rPr>
        <w:t xml:space="preserve"> </w:t>
      </w:r>
      <w:r w:rsidR="00C5038C" w:rsidRPr="001B61DE">
        <w:rPr>
          <w:rFonts w:cs="Times New Roman"/>
          <w:bCs/>
          <w:szCs w:val="24"/>
        </w:rPr>
        <w:t>(</w:t>
      </w:r>
      <w:r w:rsidR="006B66FB" w:rsidRPr="001B61DE">
        <w:rPr>
          <w:rFonts w:cs="Times New Roman"/>
          <w:bCs/>
          <w:szCs w:val="24"/>
        </w:rPr>
        <w:t>420 US 714, 714-</w:t>
      </w:r>
      <w:r w:rsidR="0083678B" w:rsidRPr="001B61DE">
        <w:rPr>
          <w:rFonts w:cs="Times New Roman"/>
          <w:bCs/>
          <w:szCs w:val="24"/>
        </w:rPr>
        <w:t>7</w:t>
      </w:r>
      <w:r w:rsidR="006B66FB" w:rsidRPr="001B61DE">
        <w:rPr>
          <w:rFonts w:cs="Times New Roman"/>
          <w:bCs/>
          <w:szCs w:val="24"/>
        </w:rPr>
        <w:t>15</w:t>
      </w:r>
      <w:r w:rsidR="00506139" w:rsidRPr="001B61DE">
        <w:rPr>
          <w:rFonts w:cs="Times New Roman"/>
          <w:bCs/>
          <w:szCs w:val="24"/>
        </w:rPr>
        <w:t xml:space="preserve"> </w:t>
      </w:r>
      <w:r w:rsidR="006B66FB" w:rsidRPr="001B61DE">
        <w:rPr>
          <w:rFonts w:cs="Times New Roman"/>
          <w:bCs/>
          <w:szCs w:val="24"/>
        </w:rPr>
        <w:t>[1975]</w:t>
      </w:r>
      <w:r w:rsidR="00597EAA" w:rsidRPr="001B61DE">
        <w:rPr>
          <w:rFonts w:cs="Times New Roman"/>
          <w:bCs/>
          <w:szCs w:val="24"/>
        </w:rPr>
        <w:t xml:space="preserve"> [</w:t>
      </w:r>
      <w:r w:rsidR="005960AD" w:rsidRPr="001B61DE">
        <w:rPr>
          <w:rFonts w:cs="Times New Roman"/>
          <w:bCs/>
          <w:szCs w:val="24"/>
        </w:rPr>
        <w:t xml:space="preserve">the </w:t>
      </w:r>
      <w:r w:rsidR="00391E5C" w:rsidRPr="001B61DE">
        <w:rPr>
          <w:rFonts w:cs="Times New Roman"/>
          <w:bCs/>
          <w:i/>
          <w:iCs/>
          <w:szCs w:val="24"/>
        </w:rPr>
        <w:t>Harris</w:t>
      </w:r>
      <w:r w:rsidR="00391E5C" w:rsidRPr="001B61DE">
        <w:rPr>
          <w:rFonts w:cs="Times New Roman"/>
          <w:bCs/>
          <w:szCs w:val="24"/>
        </w:rPr>
        <w:t xml:space="preserve"> holding was reaffirmed where the</w:t>
      </w:r>
      <w:r w:rsidR="00283B93" w:rsidRPr="001B61DE">
        <w:rPr>
          <w:rFonts w:cs="Times New Roman"/>
          <w:bCs/>
          <w:szCs w:val="24"/>
        </w:rPr>
        <w:t xml:space="preserve"> only difference between the two cases was that</w:t>
      </w:r>
      <w:r w:rsidR="00504CDE" w:rsidRPr="001B61DE">
        <w:rPr>
          <w:rFonts w:cs="Times New Roman"/>
          <w:bCs/>
          <w:szCs w:val="24"/>
        </w:rPr>
        <w:t xml:space="preserve"> Harris received defective pre-interrogation warnings</w:t>
      </w:r>
      <w:r w:rsidR="00116B05" w:rsidRPr="001B61DE">
        <w:rPr>
          <w:rFonts w:cs="Times New Roman"/>
          <w:bCs/>
          <w:szCs w:val="24"/>
        </w:rPr>
        <w:t xml:space="preserve"> and Hass received proper warnings but thereafter asked to telephone a lawyer</w:t>
      </w:r>
      <w:r w:rsidR="000338F9" w:rsidRPr="001B61DE">
        <w:rPr>
          <w:rFonts w:cs="Times New Roman"/>
          <w:bCs/>
          <w:szCs w:val="24"/>
        </w:rPr>
        <w:t xml:space="preserve"> before making the statement used for impeachment</w:t>
      </w:r>
      <w:r w:rsidR="003D1101" w:rsidRPr="001B61DE">
        <w:rPr>
          <w:rFonts w:cs="Times New Roman"/>
          <w:bCs/>
          <w:szCs w:val="24"/>
        </w:rPr>
        <w:t>]</w:t>
      </w:r>
      <w:r w:rsidR="003F2683" w:rsidRPr="001B61DE">
        <w:rPr>
          <w:rFonts w:cs="Times New Roman"/>
          <w:bCs/>
          <w:szCs w:val="24"/>
        </w:rPr>
        <w:t>)</w:t>
      </w:r>
      <w:r w:rsidR="003D1101" w:rsidRPr="001B61DE">
        <w:rPr>
          <w:rFonts w:cs="Times New Roman"/>
          <w:bCs/>
          <w:szCs w:val="24"/>
        </w:rPr>
        <w:t>.</w:t>
      </w:r>
    </w:p>
    <w:p w14:paraId="6AFCC199" w14:textId="6795600F" w:rsidR="00CB237D" w:rsidRPr="001B61DE" w:rsidRDefault="00CB237D" w:rsidP="00706F04">
      <w:pPr>
        <w:spacing w:line="240" w:lineRule="auto"/>
        <w:ind w:left="0"/>
        <w:rPr>
          <w:rFonts w:cs="Times New Roman"/>
          <w:bCs/>
          <w:szCs w:val="24"/>
        </w:rPr>
      </w:pPr>
    </w:p>
    <w:p w14:paraId="1A3F6FF3" w14:textId="74507B1D" w:rsidR="00EA5915" w:rsidRPr="001B61DE" w:rsidRDefault="00706F04" w:rsidP="00706F04">
      <w:pPr>
        <w:tabs>
          <w:tab w:val="left" w:pos="720"/>
        </w:tabs>
        <w:spacing w:line="240" w:lineRule="auto"/>
        <w:ind w:left="0"/>
        <w:rPr>
          <w:rFonts w:cs="Times New Roman"/>
          <w:bCs/>
          <w:szCs w:val="24"/>
        </w:rPr>
      </w:pPr>
      <w:r w:rsidRPr="001B61DE">
        <w:rPr>
          <w:rFonts w:cs="Times New Roman"/>
          <w:bCs/>
          <w:szCs w:val="24"/>
        </w:rPr>
        <w:tab/>
      </w:r>
      <w:r w:rsidR="00D5130E" w:rsidRPr="001B61DE">
        <w:rPr>
          <w:rFonts w:cs="Times New Roman"/>
          <w:bCs/>
          <w:szCs w:val="24"/>
        </w:rPr>
        <w:t xml:space="preserve">In </w:t>
      </w:r>
      <w:r w:rsidR="00D5130E" w:rsidRPr="001B61DE">
        <w:rPr>
          <w:rFonts w:cs="Times New Roman"/>
          <w:bCs/>
          <w:i/>
          <w:iCs/>
          <w:szCs w:val="24"/>
        </w:rPr>
        <w:t>Harris</w:t>
      </w:r>
      <w:r w:rsidR="00D5130E" w:rsidRPr="001B61DE">
        <w:rPr>
          <w:rFonts w:cs="Times New Roman"/>
          <w:bCs/>
          <w:szCs w:val="24"/>
        </w:rPr>
        <w:t>, the prior inconsistent statement was elicited during cross-examination of the defendant</w:t>
      </w:r>
      <w:r w:rsidR="00BA482D" w:rsidRPr="001B61DE">
        <w:rPr>
          <w:rFonts w:cs="Times New Roman"/>
          <w:bCs/>
          <w:szCs w:val="24"/>
        </w:rPr>
        <w:t xml:space="preserve"> (</w:t>
      </w:r>
      <w:r w:rsidR="00BA482D" w:rsidRPr="001B61DE">
        <w:rPr>
          <w:rFonts w:cs="Times New Roman"/>
          <w:bCs/>
          <w:i/>
          <w:iCs/>
          <w:szCs w:val="24"/>
        </w:rPr>
        <w:t>Harris</w:t>
      </w:r>
      <w:r w:rsidR="00D179B5" w:rsidRPr="001B61DE">
        <w:rPr>
          <w:rFonts w:cs="Times New Roman"/>
          <w:bCs/>
          <w:szCs w:val="24"/>
        </w:rPr>
        <w:t xml:space="preserve">, </w:t>
      </w:r>
      <w:r w:rsidR="00B84B61" w:rsidRPr="001B61DE">
        <w:rPr>
          <w:rFonts w:cs="Times New Roman"/>
          <w:bCs/>
          <w:szCs w:val="24"/>
        </w:rPr>
        <w:t>401 US</w:t>
      </w:r>
      <w:r w:rsidR="00BA482D" w:rsidRPr="001B61DE">
        <w:rPr>
          <w:rFonts w:cs="Times New Roman"/>
          <w:bCs/>
          <w:szCs w:val="24"/>
        </w:rPr>
        <w:t xml:space="preserve"> at </w:t>
      </w:r>
      <w:r w:rsidR="0083678B" w:rsidRPr="001B61DE">
        <w:rPr>
          <w:rFonts w:cs="Times New Roman"/>
          <w:bCs/>
          <w:szCs w:val="24"/>
        </w:rPr>
        <w:t>223</w:t>
      </w:r>
      <w:r w:rsidR="00BA482D" w:rsidRPr="001B61DE">
        <w:rPr>
          <w:rFonts w:cs="Times New Roman"/>
          <w:bCs/>
          <w:szCs w:val="24"/>
        </w:rPr>
        <w:t xml:space="preserve">). </w:t>
      </w:r>
      <w:r w:rsidR="00D5130E" w:rsidRPr="001B61DE">
        <w:rPr>
          <w:rFonts w:cs="Times New Roman"/>
          <w:bCs/>
          <w:szCs w:val="24"/>
        </w:rPr>
        <w:t xml:space="preserve"> In </w:t>
      </w:r>
      <w:r w:rsidR="00D5130E" w:rsidRPr="001B61DE">
        <w:rPr>
          <w:rFonts w:cs="Times New Roman"/>
          <w:bCs/>
          <w:i/>
          <w:iCs/>
          <w:szCs w:val="24"/>
        </w:rPr>
        <w:t>Hass</w:t>
      </w:r>
      <w:r w:rsidR="00D5130E" w:rsidRPr="001B61DE">
        <w:rPr>
          <w:rFonts w:cs="Times New Roman"/>
          <w:bCs/>
          <w:iCs/>
          <w:szCs w:val="24"/>
        </w:rPr>
        <w:t>,</w:t>
      </w:r>
      <w:r w:rsidR="00D5130E" w:rsidRPr="001B61DE">
        <w:rPr>
          <w:rFonts w:cs="Times New Roman"/>
          <w:bCs/>
          <w:i/>
          <w:iCs/>
          <w:szCs w:val="24"/>
        </w:rPr>
        <w:t xml:space="preserve"> </w:t>
      </w:r>
      <w:r w:rsidR="00375B67" w:rsidRPr="001B61DE">
        <w:rPr>
          <w:rFonts w:cs="Times New Roman"/>
          <w:bCs/>
          <w:szCs w:val="24"/>
        </w:rPr>
        <w:t xml:space="preserve">the Court held </w:t>
      </w:r>
      <w:r w:rsidR="00F24F0C" w:rsidRPr="001B61DE">
        <w:rPr>
          <w:rFonts w:cs="Times New Roman"/>
          <w:bCs/>
          <w:szCs w:val="24"/>
        </w:rPr>
        <w:t>that the trial court erred in denying</w:t>
      </w:r>
      <w:r w:rsidR="00375B67" w:rsidRPr="001B61DE">
        <w:rPr>
          <w:rFonts w:cs="Times New Roman"/>
          <w:bCs/>
          <w:szCs w:val="24"/>
        </w:rPr>
        <w:t xml:space="preserve"> </w:t>
      </w:r>
      <w:r w:rsidR="00EA5915" w:rsidRPr="001B61DE">
        <w:rPr>
          <w:rFonts w:cs="Times New Roman"/>
          <w:bCs/>
          <w:szCs w:val="24"/>
        </w:rPr>
        <w:t>the prosecutor’s application to call a rebuttal witness to testify to the inconsistent statement</w:t>
      </w:r>
      <w:r w:rsidR="00A72CE3" w:rsidRPr="001B61DE">
        <w:rPr>
          <w:rFonts w:cs="Times New Roman"/>
          <w:bCs/>
          <w:szCs w:val="24"/>
        </w:rPr>
        <w:t xml:space="preserve"> </w:t>
      </w:r>
      <w:r w:rsidR="00A75BC7" w:rsidRPr="001B61DE">
        <w:rPr>
          <w:rFonts w:cs="Times New Roman"/>
          <w:bCs/>
          <w:szCs w:val="24"/>
        </w:rPr>
        <w:t>(</w:t>
      </w:r>
      <w:r w:rsidR="00A75BC7" w:rsidRPr="001B61DE">
        <w:rPr>
          <w:rFonts w:cs="Times New Roman"/>
          <w:bCs/>
          <w:i/>
          <w:iCs/>
          <w:szCs w:val="24"/>
        </w:rPr>
        <w:t>Hass</w:t>
      </w:r>
      <w:r w:rsidR="00B84B61" w:rsidRPr="001B61DE">
        <w:rPr>
          <w:rFonts w:cs="Times New Roman"/>
          <w:bCs/>
          <w:iCs/>
          <w:szCs w:val="24"/>
        </w:rPr>
        <w:t>,</w:t>
      </w:r>
      <w:r w:rsidR="00B84B61" w:rsidRPr="001B61DE">
        <w:rPr>
          <w:rFonts w:cs="Times New Roman"/>
          <w:bCs/>
          <w:i/>
          <w:iCs/>
          <w:szCs w:val="24"/>
        </w:rPr>
        <w:t xml:space="preserve"> </w:t>
      </w:r>
      <w:r w:rsidR="00B84B61" w:rsidRPr="001B61DE">
        <w:rPr>
          <w:rFonts w:cs="Times New Roman"/>
          <w:bCs/>
          <w:szCs w:val="24"/>
        </w:rPr>
        <w:t>420 US</w:t>
      </w:r>
      <w:r w:rsidR="00A75BC7" w:rsidRPr="001B61DE">
        <w:rPr>
          <w:rFonts w:cs="Times New Roman"/>
          <w:bCs/>
          <w:szCs w:val="24"/>
        </w:rPr>
        <w:t xml:space="preserve"> at 723-</w:t>
      </w:r>
      <w:r w:rsidR="0083678B" w:rsidRPr="001B61DE">
        <w:rPr>
          <w:rFonts w:cs="Times New Roman"/>
          <w:bCs/>
          <w:szCs w:val="24"/>
        </w:rPr>
        <w:t>7</w:t>
      </w:r>
      <w:r w:rsidR="00A75BC7" w:rsidRPr="001B61DE">
        <w:rPr>
          <w:rFonts w:cs="Times New Roman"/>
          <w:bCs/>
          <w:szCs w:val="24"/>
        </w:rPr>
        <w:t>24).</w:t>
      </w:r>
    </w:p>
    <w:p w14:paraId="68931F93" w14:textId="248882E3" w:rsidR="006C6351" w:rsidRPr="001B61DE" w:rsidRDefault="006C6351" w:rsidP="00706F04">
      <w:pPr>
        <w:spacing w:line="240" w:lineRule="auto"/>
        <w:ind w:left="0"/>
        <w:rPr>
          <w:rFonts w:cs="Times New Roman"/>
          <w:bCs/>
          <w:szCs w:val="24"/>
        </w:rPr>
      </w:pPr>
    </w:p>
    <w:p w14:paraId="5240DD65" w14:textId="542B1D98" w:rsidR="000D20EA" w:rsidRPr="001B61DE" w:rsidRDefault="000C5FE5" w:rsidP="00706F04">
      <w:pPr>
        <w:shd w:val="clear" w:color="auto" w:fill="FFFFFF"/>
        <w:spacing w:line="240" w:lineRule="auto"/>
        <w:ind w:left="0"/>
        <w:rPr>
          <w:rFonts w:cs="Times New Roman"/>
          <w:bCs/>
          <w:szCs w:val="24"/>
        </w:rPr>
      </w:pPr>
      <w:r w:rsidRPr="001B61DE">
        <w:rPr>
          <w:rFonts w:cs="Times New Roman"/>
          <w:bCs/>
          <w:szCs w:val="24"/>
        </w:rPr>
        <w:tab/>
      </w:r>
      <w:r w:rsidR="00E60CA4" w:rsidRPr="001B61DE">
        <w:rPr>
          <w:rFonts w:cs="Times New Roman"/>
          <w:bCs/>
          <w:szCs w:val="24"/>
        </w:rPr>
        <w:t>The Court of Appeals</w:t>
      </w:r>
      <w:r w:rsidR="00F817AE" w:rsidRPr="001B61DE">
        <w:rPr>
          <w:rFonts w:cs="Times New Roman"/>
          <w:bCs/>
          <w:szCs w:val="24"/>
        </w:rPr>
        <w:t xml:space="preserve"> has long held</w:t>
      </w:r>
      <w:r w:rsidR="008E47C9" w:rsidRPr="001B61DE">
        <w:rPr>
          <w:rFonts w:cs="Times New Roman"/>
          <w:bCs/>
          <w:szCs w:val="24"/>
        </w:rPr>
        <w:t xml:space="preserve"> that</w:t>
      </w:r>
      <w:r w:rsidR="00F817AE" w:rsidRPr="001B61DE">
        <w:rPr>
          <w:rFonts w:cs="Times New Roman"/>
          <w:bCs/>
          <w:szCs w:val="24"/>
        </w:rPr>
        <w:t xml:space="preserve"> </w:t>
      </w:r>
      <w:r w:rsidR="008E47C9" w:rsidRPr="001B61DE">
        <w:rPr>
          <w:rFonts w:cs="Times New Roman"/>
          <w:bCs/>
          <w:szCs w:val="24"/>
        </w:rPr>
        <w:t>“</w:t>
      </w:r>
      <w:r w:rsidR="0083678B" w:rsidRPr="001B61DE">
        <w:rPr>
          <w:rFonts w:cs="Times New Roman"/>
          <w:bCs/>
          <w:szCs w:val="24"/>
        </w:rPr>
        <w:t>[o]</w:t>
      </w:r>
      <w:proofErr w:type="spellStart"/>
      <w:r w:rsidR="00F817AE" w:rsidRPr="001B61DE">
        <w:rPr>
          <w:rFonts w:eastAsia="Times New Roman" w:cs="Times New Roman"/>
          <w:szCs w:val="24"/>
        </w:rPr>
        <w:t>ur</w:t>
      </w:r>
      <w:proofErr w:type="spellEnd"/>
      <w:r w:rsidR="00F817AE" w:rsidRPr="001B61DE">
        <w:rPr>
          <w:rFonts w:eastAsia="Times New Roman" w:cs="Times New Roman"/>
          <w:szCs w:val="24"/>
        </w:rPr>
        <w:t xml:space="preserve"> rule permits the use for impeachment not only of statements obtained in violation of a defendant</w:t>
      </w:r>
      <w:r w:rsidR="00D17B70">
        <w:rPr>
          <w:rFonts w:eastAsia="Times New Roman" w:cs="Times New Roman"/>
          <w:szCs w:val="24"/>
        </w:rPr>
        <w:t>’</w:t>
      </w:r>
      <w:r w:rsidR="00F817AE" w:rsidRPr="001B61DE">
        <w:rPr>
          <w:rFonts w:eastAsia="Times New Roman" w:cs="Times New Roman"/>
          <w:szCs w:val="24"/>
        </w:rPr>
        <w:t xml:space="preserve">s </w:t>
      </w:r>
      <w:r w:rsidR="00F817AE" w:rsidRPr="001B61DE">
        <w:rPr>
          <w:rFonts w:eastAsia="Times New Roman" w:cs="Times New Roman"/>
          <w:i/>
          <w:iCs/>
          <w:szCs w:val="24"/>
        </w:rPr>
        <w:t>Miranda</w:t>
      </w:r>
      <w:r w:rsidR="00F817AE" w:rsidRPr="001B61DE">
        <w:rPr>
          <w:rFonts w:eastAsia="Times New Roman" w:cs="Times New Roman"/>
          <w:szCs w:val="24"/>
        </w:rPr>
        <w:t xml:space="preserve"> rights</w:t>
      </w:r>
      <w:r w:rsidR="00327045" w:rsidRPr="001B61DE">
        <w:rPr>
          <w:rFonts w:eastAsia="Times New Roman" w:cs="Times New Roman"/>
          <w:szCs w:val="24"/>
        </w:rPr>
        <w:t xml:space="preserve">, </w:t>
      </w:r>
      <w:r w:rsidR="00F817AE" w:rsidRPr="001B61DE">
        <w:rPr>
          <w:rFonts w:eastAsia="Times New Roman" w:cs="Times New Roman"/>
          <w:szCs w:val="24"/>
        </w:rPr>
        <w:t>but also of those obtained in violation of his right to counsel under the State Constitution</w:t>
      </w:r>
      <w:r w:rsidR="008E47C9" w:rsidRPr="001B61DE">
        <w:rPr>
          <w:rFonts w:eastAsia="Times New Roman" w:cs="Times New Roman"/>
          <w:szCs w:val="24"/>
        </w:rPr>
        <w:t>” (</w:t>
      </w:r>
      <w:r w:rsidR="00F817AE" w:rsidRPr="001B61DE">
        <w:rPr>
          <w:rFonts w:eastAsia="Times New Roman" w:cs="Times New Roman"/>
          <w:i/>
          <w:iCs/>
          <w:szCs w:val="24"/>
        </w:rPr>
        <w:t>People v Maerling</w:t>
      </w:r>
      <w:r w:rsidR="00F817AE" w:rsidRPr="001B61DE">
        <w:rPr>
          <w:rFonts w:eastAsia="Times New Roman" w:cs="Times New Roman"/>
          <w:szCs w:val="24"/>
        </w:rPr>
        <w:t>, 64 NY2d 134, 140</w:t>
      </w:r>
      <w:r w:rsidR="008E47C9" w:rsidRPr="001B61DE">
        <w:rPr>
          <w:rFonts w:eastAsia="Times New Roman" w:cs="Times New Roman"/>
          <w:szCs w:val="24"/>
        </w:rPr>
        <w:t xml:space="preserve"> </w:t>
      </w:r>
      <w:r w:rsidR="00F817AE" w:rsidRPr="001B61DE">
        <w:rPr>
          <w:rFonts w:eastAsia="Times New Roman" w:cs="Times New Roman"/>
          <w:szCs w:val="24"/>
        </w:rPr>
        <w:t>[1984]</w:t>
      </w:r>
      <w:r w:rsidR="0083678B" w:rsidRPr="001B61DE">
        <w:rPr>
          <w:rFonts w:eastAsia="Times New Roman" w:cs="Times New Roman"/>
          <w:szCs w:val="24"/>
        </w:rPr>
        <w:t xml:space="preserve"> [citations omitted]</w:t>
      </w:r>
      <w:r w:rsidR="008E47C9" w:rsidRPr="001B61DE">
        <w:rPr>
          <w:rFonts w:eastAsia="Times New Roman" w:cs="Times New Roman"/>
          <w:szCs w:val="24"/>
        </w:rPr>
        <w:t>).</w:t>
      </w:r>
    </w:p>
    <w:p w14:paraId="50EFC610" w14:textId="77777777" w:rsidR="00706F04" w:rsidRPr="001B61DE" w:rsidRDefault="00706F04" w:rsidP="00706F04">
      <w:pPr>
        <w:shd w:val="clear" w:color="auto" w:fill="FFFFFF"/>
        <w:spacing w:line="240" w:lineRule="auto"/>
        <w:ind w:left="0"/>
        <w:rPr>
          <w:rFonts w:cs="Times New Roman"/>
          <w:bCs/>
          <w:szCs w:val="24"/>
        </w:rPr>
      </w:pPr>
    </w:p>
    <w:p w14:paraId="3244002C" w14:textId="3C813C3A" w:rsidR="0002075A" w:rsidRPr="001B61DE" w:rsidRDefault="00706F04" w:rsidP="00706F04">
      <w:pPr>
        <w:tabs>
          <w:tab w:val="left" w:pos="720"/>
        </w:tabs>
        <w:spacing w:line="240" w:lineRule="auto"/>
        <w:ind w:left="0"/>
        <w:rPr>
          <w:rFonts w:cs="Times New Roman"/>
          <w:bCs/>
          <w:szCs w:val="24"/>
        </w:rPr>
      </w:pPr>
      <w:r w:rsidRPr="001B61DE">
        <w:rPr>
          <w:rFonts w:cs="Times New Roman"/>
          <w:bCs/>
          <w:szCs w:val="24"/>
        </w:rPr>
        <w:tab/>
      </w:r>
      <w:r w:rsidR="0002075A" w:rsidRPr="001B61DE">
        <w:rPr>
          <w:rFonts w:cs="Times New Roman"/>
          <w:bCs/>
          <w:szCs w:val="24"/>
        </w:rPr>
        <w:t>The princip</w:t>
      </w:r>
      <w:r w:rsidR="00C5038C" w:rsidRPr="001B61DE">
        <w:rPr>
          <w:rFonts w:cs="Times New Roman"/>
          <w:bCs/>
          <w:szCs w:val="24"/>
        </w:rPr>
        <w:t>al</w:t>
      </w:r>
      <w:r w:rsidR="0002075A" w:rsidRPr="001B61DE">
        <w:rPr>
          <w:rFonts w:cs="Times New Roman"/>
          <w:bCs/>
          <w:szCs w:val="24"/>
        </w:rPr>
        <w:t xml:space="preserve"> decisions in the Court of Appeals on permitting impeachment of a defendant by a voluntary statement taken in violation of the defendant’s </w:t>
      </w:r>
      <w:r w:rsidR="00E4236F" w:rsidRPr="001B61DE">
        <w:rPr>
          <w:rFonts w:cs="Times New Roman"/>
          <w:bCs/>
          <w:szCs w:val="24"/>
        </w:rPr>
        <w:t>pre-interrogation</w:t>
      </w:r>
      <w:r w:rsidR="0002075A" w:rsidRPr="001B61DE">
        <w:rPr>
          <w:rFonts w:cs="Times New Roman"/>
          <w:bCs/>
          <w:szCs w:val="24"/>
        </w:rPr>
        <w:t xml:space="preserve"> warnings include:</w:t>
      </w:r>
      <w:r w:rsidR="0002075A" w:rsidRPr="001B61DE">
        <w:rPr>
          <w:rFonts w:cs="Times New Roman"/>
          <w:i/>
          <w:szCs w:val="24"/>
          <w:lang w:val="x-none"/>
        </w:rPr>
        <w:t xml:space="preserve"> Harris</w:t>
      </w:r>
      <w:r w:rsidR="004852BF" w:rsidRPr="001B61DE">
        <w:rPr>
          <w:rFonts w:cs="Times New Roman"/>
          <w:i/>
          <w:szCs w:val="24"/>
        </w:rPr>
        <w:t xml:space="preserve"> </w:t>
      </w:r>
      <w:r w:rsidR="004852BF" w:rsidRPr="001B61DE">
        <w:rPr>
          <w:rFonts w:cs="Times New Roman"/>
          <w:iCs/>
          <w:szCs w:val="24"/>
        </w:rPr>
        <w:t>(2</w:t>
      </w:r>
      <w:r w:rsidR="00C46B2A" w:rsidRPr="001B61DE">
        <w:rPr>
          <w:rFonts w:cs="Times New Roman"/>
          <w:iCs/>
          <w:szCs w:val="24"/>
        </w:rPr>
        <w:t>5 NY2d at 177</w:t>
      </w:r>
      <w:r w:rsidR="00E4236F" w:rsidRPr="001B61DE">
        <w:rPr>
          <w:rFonts w:cs="Times New Roman"/>
          <w:szCs w:val="24"/>
        </w:rPr>
        <w:t xml:space="preserve"> </w:t>
      </w:r>
      <w:r w:rsidR="0002075A" w:rsidRPr="001B61DE">
        <w:rPr>
          <w:rFonts w:cs="Times New Roman"/>
          <w:szCs w:val="24"/>
        </w:rPr>
        <w:t>[</w:t>
      </w:r>
      <w:r w:rsidR="00ED56F0" w:rsidRPr="001B61DE">
        <w:rPr>
          <w:rFonts w:cs="Times New Roman"/>
          <w:szCs w:val="24"/>
        </w:rPr>
        <w:t xml:space="preserve">on cross-examination </w:t>
      </w:r>
      <w:r w:rsidR="003923CB" w:rsidRPr="001B61DE">
        <w:rPr>
          <w:rFonts w:cs="Times New Roman"/>
          <w:szCs w:val="24"/>
        </w:rPr>
        <w:t>of the defendant</w:t>
      </w:r>
      <w:r w:rsidR="008A5A4C" w:rsidRPr="001B61DE">
        <w:rPr>
          <w:rFonts w:cs="Times New Roman"/>
          <w:szCs w:val="24"/>
        </w:rPr>
        <w:t>, the prosecutor properly used</w:t>
      </w:r>
      <w:r w:rsidR="003923CB" w:rsidRPr="001B61DE">
        <w:rPr>
          <w:rFonts w:cs="Times New Roman"/>
          <w:szCs w:val="24"/>
        </w:rPr>
        <w:t xml:space="preserve"> </w:t>
      </w:r>
      <w:r w:rsidR="0002075A" w:rsidRPr="001B61DE">
        <w:rPr>
          <w:rFonts w:cs="Times New Roman"/>
          <w:szCs w:val="24"/>
        </w:rPr>
        <w:t xml:space="preserve">a statement taken </w:t>
      </w:r>
      <w:r w:rsidR="008A5A4C" w:rsidRPr="001B61DE">
        <w:rPr>
          <w:rFonts w:cs="Times New Roman"/>
          <w:szCs w:val="24"/>
        </w:rPr>
        <w:t xml:space="preserve">from the defendant </w:t>
      </w:r>
      <w:r w:rsidR="0002075A" w:rsidRPr="001B61DE">
        <w:rPr>
          <w:rFonts w:cs="Times New Roman"/>
          <w:szCs w:val="24"/>
        </w:rPr>
        <w:t xml:space="preserve">in violation of the required pre-interrogation warnings </w:t>
      </w:r>
      <w:r w:rsidR="005E0463" w:rsidRPr="001B61DE">
        <w:rPr>
          <w:rFonts w:cs="Times New Roman"/>
          <w:szCs w:val="24"/>
        </w:rPr>
        <w:t>that</w:t>
      </w:r>
      <w:r w:rsidR="0002075A" w:rsidRPr="001B61DE">
        <w:rPr>
          <w:rFonts w:cs="Times New Roman"/>
          <w:szCs w:val="24"/>
        </w:rPr>
        <w:t xml:space="preserve"> was at “complete variance” with the defendant’s direct testimony </w:t>
      </w:r>
      <w:r w:rsidR="004D02FF" w:rsidRPr="001B61DE">
        <w:rPr>
          <w:rFonts w:cs="Times New Roman"/>
          <w:bCs/>
          <w:szCs w:val="24"/>
        </w:rPr>
        <w:t>to impeach the defendant</w:t>
      </w:r>
      <w:r w:rsidR="0002075A" w:rsidRPr="001B61DE">
        <w:rPr>
          <w:rFonts w:cs="Times New Roman"/>
          <w:szCs w:val="24"/>
        </w:rPr>
        <w:t>]</w:t>
      </w:r>
      <w:r w:rsidR="00C5038C" w:rsidRPr="001B61DE">
        <w:rPr>
          <w:rFonts w:cs="Times New Roman"/>
          <w:szCs w:val="24"/>
        </w:rPr>
        <w:t>) and</w:t>
      </w:r>
      <w:r w:rsidR="0002075A" w:rsidRPr="001B61DE">
        <w:rPr>
          <w:rFonts w:cs="Times New Roman"/>
          <w:szCs w:val="24"/>
        </w:rPr>
        <w:t xml:space="preserve"> </w:t>
      </w:r>
      <w:r w:rsidR="0002075A" w:rsidRPr="001B61DE">
        <w:rPr>
          <w:rFonts w:cs="Times New Roman"/>
          <w:bCs/>
          <w:i/>
          <w:iCs/>
          <w:szCs w:val="24"/>
        </w:rPr>
        <w:t>People v Wilson</w:t>
      </w:r>
      <w:r w:rsidR="0002075A" w:rsidRPr="001B61DE">
        <w:rPr>
          <w:rFonts w:cs="Times New Roman"/>
          <w:bCs/>
          <w:szCs w:val="24"/>
        </w:rPr>
        <w:t xml:space="preserve"> </w:t>
      </w:r>
      <w:r w:rsidR="00C5038C" w:rsidRPr="001B61DE">
        <w:rPr>
          <w:rFonts w:cs="Times New Roman"/>
          <w:bCs/>
          <w:szCs w:val="24"/>
        </w:rPr>
        <w:t>(</w:t>
      </w:r>
      <w:r w:rsidR="0002075A" w:rsidRPr="001B61DE">
        <w:rPr>
          <w:rFonts w:cs="Times New Roman"/>
          <w:bCs/>
          <w:szCs w:val="24"/>
        </w:rPr>
        <w:t>28 NY3d 67, 72 [2016] [</w:t>
      </w:r>
      <w:r w:rsidR="001611C2" w:rsidRPr="001B61DE">
        <w:rPr>
          <w:rFonts w:cs="Times New Roman"/>
          <w:bCs/>
          <w:szCs w:val="24"/>
        </w:rPr>
        <w:t xml:space="preserve">the prosecutor properly used the </w:t>
      </w:r>
      <w:r w:rsidR="0002075A" w:rsidRPr="001B61DE">
        <w:rPr>
          <w:rFonts w:cs="Times New Roman"/>
          <w:bCs/>
          <w:szCs w:val="24"/>
        </w:rPr>
        <w:t xml:space="preserve">defendant’s statements made to police after he had invoked his right to remain silent to impeach the </w:t>
      </w:r>
      <w:r w:rsidR="009373F0" w:rsidRPr="001B61DE">
        <w:rPr>
          <w:rFonts w:cs="Times New Roman"/>
          <w:bCs/>
          <w:szCs w:val="24"/>
        </w:rPr>
        <w:t xml:space="preserve">defendant’s </w:t>
      </w:r>
      <w:r w:rsidR="0002075A" w:rsidRPr="001B61DE">
        <w:rPr>
          <w:rFonts w:cs="Times New Roman"/>
          <w:bCs/>
          <w:szCs w:val="24"/>
        </w:rPr>
        <w:t>testimony]</w:t>
      </w:r>
      <w:r w:rsidR="00D8318E" w:rsidRPr="001B61DE">
        <w:rPr>
          <w:rFonts w:cs="Times New Roman"/>
          <w:bCs/>
          <w:szCs w:val="24"/>
        </w:rPr>
        <w:t>)</w:t>
      </w:r>
      <w:r w:rsidR="00C46B2A" w:rsidRPr="001B61DE">
        <w:rPr>
          <w:rFonts w:cs="Times New Roman"/>
          <w:bCs/>
          <w:szCs w:val="24"/>
        </w:rPr>
        <w:t>.</w:t>
      </w:r>
    </w:p>
    <w:p w14:paraId="75C75ECA" w14:textId="77777777" w:rsidR="0002075A" w:rsidRPr="001B61DE" w:rsidRDefault="0002075A" w:rsidP="00706F04">
      <w:pPr>
        <w:spacing w:line="240" w:lineRule="auto"/>
        <w:ind w:left="0"/>
        <w:rPr>
          <w:rFonts w:cs="Times New Roman"/>
          <w:szCs w:val="24"/>
          <w:lang w:val="x-none"/>
        </w:rPr>
      </w:pPr>
    </w:p>
    <w:p w14:paraId="50FFE59D" w14:textId="5E7B051F" w:rsidR="0002075A" w:rsidRPr="001B61DE" w:rsidRDefault="00706F04" w:rsidP="00706F04">
      <w:pPr>
        <w:tabs>
          <w:tab w:val="left" w:pos="720"/>
        </w:tabs>
        <w:spacing w:line="240" w:lineRule="auto"/>
        <w:ind w:left="0"/>
        <w:rPr>
          <w:rFonts w:cs="Times New Roman"/>
          <w:szCs w:val="24"/>
        </w:rPr>
      </w:pPr>
      <w:r w:rsidRPr="001B61DE">
        <w:rPr>
          <w:rFonts w:cs="Times New Roman"/>
          <w:bCs/>
          <w:szCs w:val="24"/>
        </w:rPr>
        <w:tab/>
      </w:r>
      <w:r w:rsidR="0002075A" w:rsidRPr="001B61DE">
        <w:rPr>
          <w:rFonts w:cs="Times New Roman"/>
          <w:bCs/>
          <w:szCs w:val="24"/>
        </w:rPr>
        <w:t>The princip</w:t>
      </w:r>
      <w:r w:rsidR="00C46B2A" w:rsidRPr="001B61DE">
        <w:rPr>
          <w:rFonts w:cs="Times New Roman"/>
          <w:bCs/>
          <w:szCs w:val="24"/>
        </w:rPr>
        <w:t>al</w:t>
      </w:r>
      <w:r w:rsidR="0002075A" w:rsidRPr="001B61DE">
        <w:rPr>
          <w:rFonts w:cs="Times New Roman"/>
          <w:bCs/>
          <w:szCs w:val="24"/>
        </w:rPr>
        <w:t xml:space="preserve"> decisions in the Court of Appeals on permitting impeachment of a defendant by a voluntary statement taken in violation of the defendant’s right to counsel include: </w:t>
      </w:r>
      <w:r w:rsidR="0002075A" w:rsidRPr="001B61DE">
        <w:rPr>
          <w:rFonts w:cs="Times New Roman"/>
          <w:i/>
          <w:iCs/>
          <w:szCs w:val="24"/>
        </w:rPr>
        <w:t>People v Kulis</w:t>
      </w:r>
      <w:r w:rsidR="00176104" w:rsidRPr="001B61DE">
        <w:rPr>
          <w:rFonts w:cs="Times New Roman"/>
          <w:szCs w:val="24"/>
        </w:rPr>
        <w:t xml:space="preserve"> (</w:t>
      </w:r>
      <w:r w:rsidR="0002075A" w:rsidRPr="001B61DE">
        <w:rPr>
          <w:rFonts w:cs="Times New Roman"/>
          <w:szCs w:val="24"/>
        </w:rPr>
        <w:t>18 NY2d 318, 322 [1966] [a statement was taken after the defendant requested an attorney]</w:t>
      </w:r>
      <w:r w:rsidR="0083678B" w:rsidRPr="001B61DE">
        <w:rPr>
          <w:rFonts w:cs="Times New Roman"/>
          <w:szCs w:val="24"/>
        </w:rPr>
        <w:t>)</w:t>
      </w:r>
      <w:r w:rsidR="0002075A" w:rsidRPr="001B61DE">
        <w:rPr>
          <w:rFonts w:cs="Times New Roman"/>
          <w:szCs w:val="24"/>
        </w:rPr>
        <w:t xml:space="preserve">; </w:t>
      </w:r>
      <w:r w:rsidR="0002075A" w:rsidRPr="001B61DE">
        <w:rPr>
          <w:rFonts w:cs="Times New Roman"/>
          <w:i/>
          <w:szCs w:val="24"/>
          <w:lang w:val="x-none"/>
        </w:rPr>
        <w:t>People</w:t>
      </w:r>
      <w:r w:rsidR="0002075A" w:rsidRPr="001B61DE">
        <w:rPr>
          <w:rFonts w:cs="Times New Roman"/>
          <w:i/>
          <w:szCs w:val="24"/>
        </w:rPr>
        <w:t xml:space="preserve"> </w:t>
      </w:r>
      <w:r w:rsidR="0002075A" w:rsidRPr="001B61DE">
        <w:rPr>
          <w:rFonts w:cs="Times New Roman"/>
          <w:i/>
          <w:szCs w:val="24"/>
          <w:lang w:val="x-none"/>
        </w:rPr>
        <w:t>v Boodie</w:t>
      </w:r>
      <w:r w:rsidR="0002075A" w:rsidRPr="001B61DE">
        <w:rPr>
          <w:rFonts w:cs="Times New Roman"/>
          <w:szCs w:val="24"/>
          <w:lang w:val="x-none"/>
        </w:rPr>
        <w:t xml:space="preserve"> </w:t>
      </w:r>
      <w:r w:rsidR="0083678B" w:rsidRPr="001B61DE">
        <w:rPr>
          <w:rFonts w:cs="Times New Roman"/>
          <w:szCs w:val="24"/>
        </w:rPr>
        <w:t>(</w:t>
      </w:r>
      <w:r w:rsidR="0002075A" w:rsidRPr="001B61DE">
        <w:rPr>
          <w:rFonts w:cs="Times New Roman"/>
          <w:szCs w:val="24"/>
          <w:lang w:val="x-none"/>
        </w:rPr>
        <w:t xml:space="preserve">26 </w:t>
      </w:r>
      <w:r w:rsidR="00E4236F" w:rsidRPr="001B61DE">
        <w:rPr>
          <w:rFonts w:cs="Times New Roman"/>
          <w:szCs w:val="24"/>
          <w:lang w:val="x-none"/>
        </w:rPr>
        <w:t>NY</w:t>
      </w:r>
      <w:r w:rsidR="0002075A" w:rsidRPr="001B61DE">
        <w:rPr>
          <w:rFonts w:cs="Times New Roman"/>
          <w:szCs w:val="24"/>
          <w:lang w:val="x-none"/>
        </w:rPr>
        <w:t>2d 779</w:t>
      </w:r>
      <w:r w:rsidR="0002075A" w:rsidRPr="001B61DE">
        <w:rPr>
          <w:rFonts w:cs="Times New Roman"/>
          <w:szCs w:val="24"/>
        </w:rPr>
        <w:t>, 781 [</w:t>
      </w:r>
      <w:r w:rsidR="0002075A" w:rsidRPr="001B61DE">
        <w:rPr>
          <w:rFonts w:cs="Times New Roman"/>
          <w:szCs w:val="24"/>
          <w:lang w:val="x-none"/>
        </w:rPr>
        <w:t>1970</w:t>
      </w:r>
      <w:r w:rsidR="0002075A" w:rsidRPr="001B61DE">
        <w:rPr>
          <w:rFonts w:cs="Times New Roman"/>
          <w:szCs w:val="24"/>
        </w:rPr>
        <w:t>]</w:t>
      </w:r>
      <w:r w:rsidR="0002075A" w:rsidRPr="001B61DE">
        <w:rPr>
          <w:rFonts w:eastAsia="Times New Roman" w:cs="Times New Roman"/>
          <w:szCs w:val="24"/>
        </w:rPr>
        <w:t xml:space="preserve"> [statement taken from defendant after arraignment in the absence of counsel]</w:t>
      </w:r>
      <w:r w:rsidR="0083678B" w:rsidRPr="001B61DE">
        <w:rPr>
          <w:rFonts w:eastAsia="Times New Roman" w:cs="Times New Roman"/>
          <w:szCs w:val="24"/>
        </w:rPr>
        <w:t>)</w:t>
      </w:r>
      <w:r w:rsidR="0002075A" w:rsidRPr="001B61DE">
        <w:rPr>
          <w:rFonts w:eastAsia="Times New Roman" w:cs="Times New Roman"/>
          <w:szCs w:val="24"/>
        </w:rPr>
        <w:t xml:space="preserve">; </w:t>
      </w:r>
      <w:r w:rsidR="0002075A" w:rsidRPr="001B61DE">
        <w:rPr>
          <w:rFonts w:cs="Times New Roman"/>
          <w:bCs/>
          <w:i/>
          <w:iCs/>
          <w:szCs w:val="24"/>
        </w:rPr>
        <w:t>Maerling</w:t>
      </w:r>
      <w:r w:rsidR="00C46B2A" w:rsidRPr="001B61DE">
        <w:rPr>
          <w:rFonts w:cs="Times New Roman"/>
          <w:bCs/>
          <w:iCs/>
          <w:szCs w:val="24"/>
        </w:rPr>
        <w:t xml:space="preserve"> </w:t>
      </w:r>
      <w:r w:rsidR="00D53ACE" w:rsidRPr="001B61DE">
        <w:rPr>
          <w:rFonts w:cs="Times New Roman"/>
          <w:bCs/>
          <w:iCs/>
          <w:szCs w:val="24"/>
        </w:rPr>
        <w:t xml:space="preserve"> </w:t>
      </w:r>
      <w:r w:rsidR="0083678B" w:rsidRPr="001B61DE">
        <w:rPr>
          <w:rFonts w:cs="Times New Roman"/>
          <w:bCs/>
          <w:iCs/>
          <w:szCs w:val="24"/>
        </w:rPr>
        <w:t>(</w:t>
      </w:r>
      <w:r w:rsidR="0002075A" w:rsidRPr="001B61DE">
        <w:rPr>
          <w:rFonts w:cs="Times New Roman"/>
          <w:bCs/>
          <w:iCs/>
          <w:szCs w:val="24"/>
        </w:rPr>
        <w:t>statements to a jail guard made while in custody in absence of counsel</w:t>
      </w:r>
      <w:r w:rsidR="0083678B" w:rsidRPr="001B61DE">
        <w:rPr>
          <w:rFonts w:cs="Times New Roman"/>
          <w:bCs/>
          <w:iCs/>
          <w:szCs w:val="24"/>
        </w:rPr>
        <w:t>)</w:t>
      </w:r>
      <w:r w:rsidR="005210A4">
        <w:rPr>
          <w:rFonts w:cs="Times New Roman"/>
          <w:bCs/>
          <w:iCs/>
          <w:szCs w:val="24"/>
        </w:rPr>
        <w:t>;</w:t>
      </w:r>
      <w:r w:rsidR="0083678B" w:rsidRPr="001B61DE">
        <w:rPr>
          <w:rFonts w:cs="Times New Roman"/>
          <w:bCs/>
          <w:iCs/>
          <w:szCs w:val="24"/>
        </w:rPr>
        <w:t xml:space="preserve"> and</w:t>
      </w:r>
      <w:r w:rsidR="0002075A" w:rsidRPr="001B61DE">
        <w:rPr>
          <w:rFonts w:cs="Times New Roman"/>
          <w:bCs/>
          <w:iCs/>
          <w:szCs w:val="24"/>
        </w:rPr>
        <w:t xml:space="preserve"> </w:t>
      </w:r>
      <w:r w:rsidR="0002075A" w:rsidRPr="001B61DE">
        <w:rPr>
          <w:rFonts w:cs="Times New Roman"/>
          <w:i/>
          <w:szCs w:val="24"/>
          <w:lang w:val="x-none"/>
        </w:rPr>
        <w:t>People v</w:t>
      </w:r>
      <w:r w:rsidR="0083678B" w:rsidRPr="001B61DE">
        <w:rPr>
          <w:rFonts w:cs="Times New Roman"/>
          <w:i/>
          <w:szCs w:val="24"/>
        </w:rPr>
        <w:t xml:space="preserve"> </w:t>
      </w:r>
      <w:r w:rsidR="0002075A" w:rsidRPr="001B61DE">
        <w:rPr>
          <w:rFonts w:cs="Times New Roman"/>
          <w:i/>
          <w:szCs w:val="24"/>
          <w:lang w:val="x-none"/>
        </w:rPr>
        <w:t>Meadows</w:t>
      </w:r>
      <w:r w:rsidR="0002075A" w:rsidRPr="001B61DE">
        <w:rPr>
          <w:rFonts w:cs="Times New Roman"/>
          <w:szCs w:val="24"/>
          <w:lang w:val="x-none"/>
        </w:rPr>
        <w:t xml:space="preserve"> </w:t>
      </w:r>
      <w:r w:rsidR="0083678B" w:rsidRPr="001B61DE">
        <w:rPr>
          <w:rFonts w:cs="Times New Roman"/>
          <w:szCs w:val="24"/>
        </w:rPr>
        <w:t>(</w:t>
      </w:r>
      <w:r w:rsidR="0002075A" w:rsidRPr="001B61DE">
        <w:rPr>
          <w:rFonts w:cs="Times New Roman"/>
          <w:szCs w:val="24"/>
          <w:lang w:val="x-none"/>
        </w:rPr>
        <w:t xml:space="preserve">64 </w:t>
      </w:r>
      <w:r w:rsidR="00E4236F" w:rsidRPr="001B61DE">
        <w:rPr>
          <w:rFonts w:cs="Times New Roman"/>
          <w:szCs w:val="24"/>
          <w:lang w:val="x-none"/>
        </w:rPr>
        <w:t>NY</w:t>
      </w:r>
      <w:r w:rsidR="0002075A" w:rsidRPr="001B61DE">
        <w:rPr>
          <w:rFonts w:cs="Times New Roman"/>
          <w:szCs w:val="24"/>
          <w:lang w:val="x-none"/>
        </w:rPr>
        <w:t>2d 956</w:t>
      </w:r>
      <w:r w:rsidR="00187742" w:rsidRPr="001B61DE">
        <w:rPr>
          <w:rFonts w:cs="Times New Roman"/>
          <w:szCs w:val="24"/>
        </w:rPr>
        <w:t>, 958</w:t>
      </w:r>
      <w:r w:rsidR="0002075A" w:rsidRPr="001B61DE">
        <w:rPr>
          <w:rFonts w:cs="Times New Roman"/>
          <w:szCs w:val="24"/>
        </w:rPr>
        <w:t xml:space="preserve"> [</w:t>
      </w:r>
      <w:r w:rsidR="0002075A" w:rsidRPr="001B61DE">
        <w:rPr>
          <w:rFonts w:cs="Times New Roman"/>
          <w:szCs w:val="24"/>
          <w:lang w:val="x-none"/>
        </w:rPr>
        <w:t>1985</w:t>
      </w:r>
      <w:r w:rsidR="0002075A" w:rsidRPr="001B61DE">
        <w:rPr>
          <w:rFonts w:cs="Times New Roman"/>
          <w:szCs w:val="24"/>
        </w:rPr>
        <w:t xml:space="preserve">] [statement taken after </w:t>
      </w:r>
      <w:r w:rsidR="002D7760" w:rsidRPr="001B61DE">
        <w:rPr>
          <w:rFonts w:cs="Times New Roman"/>
          <w:szCs w:val="24"/>
        </w:rPr>
        <w:t xml:space="preserve">the </w:t>
      </w:r>
      <w:r w:rsidR="0002075A" w:rsidRPr="001B61DE">
        <w:rPr>
          <w:rFonts w:cs="Times New Roman"/>
          <w:szCs w:val="24"/>
        </w:rPr>
        <w:t xml:space="preserve">right to counsel attached by virtue of the commencement of the action by the filing </w:t>
      </w:r>
      <w:r w:rsidR="00C5038C" w:rsidRPr="001B61DE">
        <w:rPr>
          <w:rFonts w:cs="Times New Roman"/>
          <w:szCs w:val="24"/>
        </w:rPr>
        <w:t xml:space="preserve">of </w:t>
      </w:r>
      <w:r w:rsidR="0002075A" w:rsidRPr="001B61DE">
        <w:rPr>
          <w:rFonts w:cs="Times New Roman"/>
          <w:szCs w:val="24"/>
        </w:rPr>
        <w:t>a complaint and issuance of a warrant]</w:t>
      </w:r>
      <w:r w:rsidR="00176104" w:rsidRPr="001B61DE">
        <w:rPr>
          <w:rFonts w:cs="Times New Roman"/>
          <w:szCs w:val="24"/>
        </w:rPr>
        <w:t>)</w:t>
      </w:r>
      <w:r w:rsidR="0002075A" w:rsidRPr="001B61DE">
        <w:rPr>
          <w:rFonts w:cs="Times New Roman"/>
          <w:szCs w:val="24"/>
        </w:rPr>
        <w:t>.</w:t>
      </w:r>
    </w:p>
    <w:p w14:paraId="1AFE178C" w14:textId="77777777" w:rsidR="00706F04" w:rsidRPr="001B61DE" w:rsidRDefault="00706F04" w:rsidP="00706F04">
      <w:pPr>
        <w:spacing w:line="240" w:lineRule="auto"/>
        <w:ind w:left="0"/>
        <w:rPr>
          <w:rFonts w:cs="Times New Roman"/>
          <w:bCs/>
          <w:iCs/>
          <w:szCs w:val="24"/>
          <w:lang w:val="x-none"/>
        </w:rPr>
      </w:pPr>
    </w:p>
    <w:p w14:paraId="0F5822C9" w14:textId="35509063" w:rsidR="002867EB" w:rsidRPr="001B61DE" w:rsidRDefault="00706F04" w:rsidP="00706F04">
      <w:pPr>
        <w:shd w:val="clear" w:color="auto" w:fill="FFFFFF"/>
        <w:tabs>
          <w:tab w:val="left" w:pos="720"/>
        </w:tabs>
        <w:spacing w:line="240" w:lineRule="auto"/>
        <w:ind w:left="0"/>
        <w:rPr>
          <w:rFonts w:cs="Times New Roman"/>
          <w:b/>
          <w:szCs w:val="24"/>
        </w:rPr>
      </w:pPr>
      <w:r w:rsidRPr="001B61DE">
        <w:rPr>
          <w:rFonts w:cs="Times New Roman"/>
          <w:bCs/>
          <w:szCs w:val="24"/>
        </w:rPr>
        <w:tab/>
      </w:r>
      <w:r w:rsidR="000D20EA" w:rsidRPr="001B61DE">
        <w:rPr>
          <w:rFonts w:cs="Times New Roman"/>
          <w:bCs/>
          <w:szCs w:val="24"/>
        </w:rPr>
        <w:t>The</w:t>
      </w:r>
      <w:r w:rsidR="006C4654" w:rsidRPr="001B61DE">
        <w:rPr>
          <w:rFonts w:cs="Times New Roman"/>
          <w:bCs/>
          <w:szCs w:val="24"/>
        </w:rPr>
        <w:t xml:space="preserve"> defendant must have given the</w:t>
      </w:r>
      <w:r w:rsidR="000D20EA" w:rsidRPr="001B61DE">
        <w:rPr>
          <w:rFonts w:cs="Times New Roman"/>
          <w:bCs/>
          <w:szCs w:val="24"/>
        </w:rPr>
        <w:t xml:space="preserve"> prior statement voluntarily</w:t>
      </w:r>
      <w:r w:rsidR="00DD7D71" w:rsidRPr="001B61DE">
        <w:rPr>
          <w:rFonts w:cs="Times New Roman"/>
          <w:bCs/>
          <w:szCs w:val="24"/>
        </w:rPr>
        <w:t xml:space="preserve"> </w:t>
      </w:r>
      <w:r w:rsidR="00476A72" w:rsidRPr="001B61DE">
        <w:rPr>
          <w:rFonts w:cs="Times New Roman"/>
          <w:bCs/>
          <w:szCs w:val="24"/>
        </w:rPr>
        <w:t>(</w:t>
      </w:r>
      <w:r w:rsidR="00C46B2A" w:rsidRPr="001B61DE">
        <w:rPr>
          <w:rFonts w:cs="Times New Roman"/>
          <w:bCs/>
          <w:i/>
          <w:szCs w:val="24"/>
        </w:rPr>
        <w:t>M</w:t>
      </w:r>
      <w:r w:rsidR="00F33F7E" w:rsidRPr="001B61DE">
        <w:rPr>
          <w:rFonts w:cs="Times New Roman"/>
          <w:bCs/>
          <w:i/>
          <w:iCs/>
          <w:szCs w:val="24"/>
        </w:rPr>
        <w:t>aerling</w:t>
      </w:r>
      <w:r w:rsidR="00F33F7E" w:rsidRPr="001B61DE">
        <w:rPr>
          <w:rFonts w:cs="Times New Roman"/>
          <w:bCs/>
          <w:szCs w:val="24"/>
        </w:rPr>
        <w:t xml:space="preserve">, 64 NY2d </w:t>
      </w:r>
      <w:r w:rsidR="00D53ACE" w:rsidRPr="001B61DE">
        <w:rPr>
          <w:rFonts w:cs="Times New Roman"/>
          <w:bCs/>
          <w:szCs w:val="24"/>
        </w:rPr>
        <w:t>at</w:t>
      </w:r>
      <w:r w:rsidR="00F33F7E" w:rsidRPr="001B61DE">
        <w:rPr>
          <w:rFonts w:cs="Times New Roman"/>
          <w:bCs/>
          <w:szCs w:val="24"/>
        </w:rPr>
        <w:t xml:space="preserve"> 140 [“If the statement was voluntary, it may be used to impeach; if it was not, it may not be admitted, even though it may be reliable</w:t>
      </w:r>
      <w:r w:rsidR="00E24B53" w:rsidRPr="001B61DE">
        <w:rPr>
          <w:rFonts w:cs="Times New Roman"/>
          <w:bCs/>
          <w:szCs w:val="24"/>
        </w:rPr>
        <w:t>”</w:t>
      </w:r>
      <w:r w:rsidR="0083678B" w:rsidRPr="001B61DE">
        <w:rPr>
          <w:rFonts w:cs="Times New Roman"/>
          <w:bCs/>
          <w:szCs w:val="24"/>
        </w:rPr>
        <w:t>]</w:t>
      </w:r>
      <w:r w:rsidR="00E24B53" w:rsidRPr="001B61DE">
        <w:rPr>
          <w:rFonts w:cs="Times New Roman"/>
          <w:bCs/>
          <w:szCs w:val="24"/>
        </w:rPr>
        <w:t>;</w:t>
      </w:r>
      <w:r w:rsidR="00D62232" w:rsidRPr="001B61DE">
        <w:rPr>
          <w:rFonts w:cs="Times New Roman"/>
          <w:bCs/>
          <w:i/>
          <w:iCs/>
          <w:szCs w:val="24"/>
        </w:rPr>
        <w:t xml:space="preserve"> </w:t>
      </w:r>
      <w:r w:rsidR="000D20EA" w:rsidRPr="001B61DE">
        <w:rPr>
          <w:rFonts w:cs="Times New Roman"/>
          <w:bCs/>
          <w:i/>
          <w:szCs w:val="24"/>
          <w:lang w:val="x-none"/>
        </w:rPr>
        <w:t>People v Walker</w:t>
      </w:r>
      <w:r w:rsidR="000D20EA" w:rsidRPr="001B61DE">
        <w:rPr>
          <w:rFonts w:cs="Times New Roman"/>
          <w:bCs/>
          <w:szCs w:val="24"/>
          <w:lang w:val="x-none"/>
        </w:rPr>
        <w:t xml:space="preserve">, 67 </w:t>
      </w:r>
      <w:r w:rsidR="00E4236F" w:rsidRPr="001B61DE">
        <w:rPr>
          <w:rFonts w:cs="Times New Roman"/>
          <w:bCs/>
          <w:szCs w:val="24"/>
          <w:lang w:val="x-none"/>
        </w:rPr>
        <w:t>NY</w:t>
      </w:r>
      <w:r w:rsidR="000D20EA" w:rsidRPr="001B61DE">
        <w:rPr>
          <w:rFonts w:cs="Times New Roman"/>
          <w:bCs/>
          <w:szCs w:val="24"/>
          <w:lang w:val="x-none"/>
        </w:rPr>
        <w:t>2d 776</w:t>
      </w:r>
      <w:r w:rsidR="000D20EA" w:rsidRPr="001B61DE">
        <w:rPr>
          <w:rFonts w:cs="Times New Roman"/>
          <w:bCs/>
          <w:szCs w:val="24"/>
        </w:rPr>
        <w:t xml:space="preserve"> [</w:t>
      </w:r>
      <w:r w:rsidR="000D20EA" w:rsidRPr="001B61DE">
        <w:rPr>
          <w:rFonts w:cs="Times New Roman"/>
          <w:bCs/>
          <w:szCs w:val="24"/>
          <w:lang w:val="x-none"/>
        </w:rPr>
        <w:t>1986</w:t>
      </w:r>
      <w:r w:rsidR="000D20EA" w:rsidRPr="001B61DE">
        <w:rPr>
          <w:rFonts w:cs="Times New Roman"/>
          <w:bCs/>
          <w:szCs w:val="24"/>
        </w:rPr>
        <w:t xml:space="preserve">] [a judicial finding that the </w:t>
      </w:r>
      <w:r w:rsidR="000D20EA" w:rsidRPr="001B61DE">
        <w:rPr>
          <w:rFonts w:cs="Times New Roman"/>
          <w:bCs/>
          <w:szCs w:val="24"/>
          <w:lang w:val="x-none"/>
        </w:rPr>
        <w:t>defendant’s statement</w:t>
      </w:r>
      <w:r w:rsidR="000D20EA" w:rsidRPr="001B61DE">
        <w:rPr>
          <w:rFonts w:cs="Times New Roman"/>
          <w:bCs/>
          <w:szCs w:val="24"/>
        </w:rPr>
        <w:t xml:space="preserve"> was involuntary precluded its use</w:t>
      </w:r>
      <w:r w:rsidR="000D20EA" w:rsidRPr="001B61DE">
        <w:rPr>
          <w:rFonts w:cs="Times New Roman"/>
          <w:bCs/>
          <w:szCs w:val="24"/>
          <w:lang w:val="x-none"/>
        </w:rPr>
        <w:t xml:space="preserve"> to impeach the</w:t>
      </w:r>
      <w:r w:rsidR="000D20EA" w:rsidRPr="001B61DE">
        <w:rPr>
          <w:rFonts w:cs="Times New Roman"/>
          <w:bCs/>
          <w:szCs w:val="24"/>
        </w:rPr>
        <w:t xml:space="preserve"> defendant’s testimony]).</w:t>
      </w:r>
      <w:r w:rsidR="005210A4">
        <w:rPr>
          <w:rFonts w:cs="Times New Roman"/>
          <w:bCs/>
          <w:szCs w:val="24"/>
        </w:rPr>
        <w:t xml:space="preserve"> </w:t>
      </w:r>
      <w:r w:rsidR="00410F6C" w:rsidRPr="001B61DE">
        <w:rPr>
          <w:rFonts w:cs="Times New Roman"/>
          <w:bCs/>
          <w:szCs w:val="24"/>
        </w:rPr>
        <w:t>The People bear the burden of showing that</w:t>
      </w:r>
      <w:r w:rsidR="00BB68BB" w:rsidRPr="001B61DE">
        <w:rPr>
          <w:rFonts w:cs="Times New Roman"/>
          <w:bCs/>
          <w:szCs w:val="24"/>
        </w:rPr>
        <w:t xml:space="preserve"> </w:t>
      </w:r>
      <w:r w:rsidR="00E20868" w:rsidRPr="001B61DE">
        <w:rPr>
          <w:rFonts w:cs="Times New Roman"/>
          <w:bCs/>
          <w:szCs w:val="24"/>
        </w:rPr>
        <w:t>statements were</w:t>
      </w:r>
      <w:r w:rsidR="00456318" w:rsidRPr="001B61DE">
        <w:rPr>
          <w:rFonts w:cs="Times New Roman"/>
          <w:bCs/>
          <w:szCs w:val="24"/>
        </w:rPr>
        <w:t xml:space="preserve"> made</w:t>
      </w:r>
      <w:r w:rsidR="00E20868" w:rsidRPr="001B61DE">
        <w:rPr>
          <w:rFonts w:cs="Times New Roman"/>
          <w:bCs/>
          <w:szCs w:val="24"/>
        </w:rPr>
        <w:t xml:space="preserve"> voluntar</w:t>
      </w:r>
      <w:r w:rsidR="00456318" w:rsidRPr="001B61DE">
        <w:rPr>
          <w:rFonts w:cs="Times New Roman"/>
          <w:bCs/>
          <w:szCs w:val="24"/>
        </w:rPr>
        <w:t>il</w:t>
      </w:r>
      <w:r w:rsidR="00E20868" w:rsidRPr="001B61DE">
        <w:rPr>
          <w:rFonts w:cs="Times New Roman"/>
          <w:bCs/>
          <w:szCs w:val="24"/>
        </w:rPr>
        <w:t>y, i.e.</w:t>
      </w:r>
      <w:r w:rsidR="0083678B" w:rsidRPr="001B61DE">
        <w:rPr>
          <w:rFonts w:cs="Times New Roman"/>
          <w:bCs/>
          <w:szCs w:val="24"/>
        </w:rPr>
        <w:t>,</w:t>
      </w:r>
      <w:r w:rsidR="00184FAF" w:rsidRPr="001B61DE">
        <w:rPr>
          <w:rFonts w:cs="Times New Roman"/>
          <w:bCs/>
          <w:szCs w:val="24"/>
        </w:rPr>
        <w:t xml:space="preserve"> that the </w:t>
      </w:r>
      <w:r w:rsidR="002F4F82" w:rsidRPr="001B61DE">
        <w:rPr>
          <w:rFonts w:cs="Times New Roman"/>
          <w:bCs/>
          <w:szCs w:val="24"/>
        </w:rPr>
        <w:t>“</w:t>
      </w:r>
      <w:r w:rsidR="00BB68BB" w:rsidRPr="001B61DE">
        <w:rPr>
          <w:rFonts w:cs="Times New Roman"/>
          <w:bCs/>
          <w:szCs w:val="24"/>
        </w:rPr>
        <w:t>statemen</w:t>
      </w:r>
      <w:r w:rsidR="002F4F82" w:rsidRPr="001B61DE">
        <w:rPr>
          <w:rFonts w:cs="Times New Roman"/>
          <w:bCs/>
          <w:szCs w:val="24"/>
        </w:rPr>
        <w:t>ts were</w:t>
      </w:r>
      <w:r w:rsidR="009048C5" w:rsidRPr="001B61DE">
        <w:rPr>
          <w:rFonts w:cs="Times New Roman"/>
          <w:bCs/>
          <w:szCs w:val="24"/>
        </w:rPr>
        <w:t xml:space="preserve"> </w:t>
      </w:r>
      <w:r w:rsidR="00BB68BB" w:rsidRPr="001B61DE">
        <w:rPr>
          <w:rFonts w:cs="Times New Roman"/>
          <w:bCs/>
          <w:szCs w:val="24"/>
        </w:rPr>
        <w:t>not products of coercion,</w:t>
      </w:r>
      <w:r w:rsidR="00BB0152" w:rsidRPr="001B61DE">
        <w:rPr>
          <w:rFonts w:cs="Times New Roman"/>
          <w:bCs/>
          <w:szCs w:val="24"/>
        </w:rPr>
        <w:t>”</w:t>
      </w:r>
      <w:r w:rsidR="00BB68BB" w:rsidRPr="001B61DE">
        <w:rPr>
          <w:rFonts w:cs="Times New Roman"/>
          <w:bCs/>
          <w:szCs w:val="24"/>
        </w:rPr>
        <w:t xml:space="preserve"> either physical or psychological</w:t>
      </w:r>
      <w:r w:rsidR="00697AE6" w:rsidRPr="001B61DE">
        <w:rPr>
          <w:rFonts w:cs="Times New Roman"/>
          <w:bCs/>
          <w:szCs w:val="24"/>
        </w:rPr>
        <w:t xml:space="preserve"> </w:t>
      </w:r>
      <w:r w:rsidR="008C4985" w:rsidRPr="001B61DE">
        <w:rPr>
          <w:rFonts w:cs="Times New Roman"/>
          <w:bCs/>
          <w:szCs w:val="24"/>
        </w:rPr>
        <w:t>(</w:t>
      </w:r>
      <w:r w:rsidR="00697AE6" w:rsidRPr="001B61DE">
        <w:rPr>
          <w:rFonts w:cs="Times New Roman"/>
          <w:bCs/>
          <w:szCs w:val="24"/>
        </w:rPr>
        <w:t>which</w:t>
      </w:r>
      <w:r w:rsidR="00FD7421" w:rsidRPr="001B61DE">
        <w:rPr>
          <w:rFonts w:cs="Times New Roman"/>
          <w:bCs/>
          <w:szCs w:val="24"/>
        </w:rPr>
        <w:t xml:space="preserve"> </w:t>
      </w:r>
      <w:r w:rsidR="00697AE6" w:rsidRPr="001B61DE">
        <w:rPr>
          <w:rFonts w:cs="Times New Roman"/>
          <w:bCs/>
          <w:szCs w:val="24"/>
        </w:rPr>
        <w:lastRenderedPageBreak/>
        <w:t>include</w:t>
      </w:r>
      <w:r w:rsidR="00FD7421" w:rsidRPr="001B61DE">
        <w:rPr>
          <w:rFonts w:cs="Times New Roman"/>
          <w:bCs/>
          <w:szCs w:val="24"/>
        </w:rPr>
        <w:t>s</w:t>
      </w:r>
      <w:r w:rsidR="001B2876" w:rsidRPr="001B61DE">
        <w:rPr>
          <w:rFonts w:cs="Times New Roman"/>
          <w:bCs/>
          <w:szCs w:val="24"/>
        </w:rPr>
        <w:t xml:space="preserve"> </w:t>
      </w:r>
      <w:r w:rsidR="008125AC" w:rsidRPr="001B61DE">
        <w:rPr>
          <w:rFonts w:cs="Times New Roman"/>
          <w:bCs/>
          <w:szCs w:val="24"/>
        </w:rPr>
        <w:t>the use</w:t>
      </w:r>
      <w:r w:rsidR="002D0D2F" w:rsidRPr="001B61DE">
        <w:rPr>
          <w:rFonts w:cs="Times New Roman"/>
          <w:bCs/>
          <w:szCs w:val="24"/>
        </w:rPr>
        <w:t xml:space="preserve"> of</w:t>
      </w:r>
      <w:r w:rsidR="008125AC" w:rsidRPr="001B61DE">
        <w:rPr>
          <w:rFonts w:cs="Times New Roman"/>
          <w:bCs/>
          <w:szCs w:val="24"/>
        </w:rPr>
        <w:t xml:space="preserve"> </w:t>
      </w:r>
      <w:r w:rsidR="00963F88" w:rsidRPr="001B61DE">
        <w:rPr>
          <w:rFonts w:cs="Times New Roman"/>
          <w:bCs/>
          <w:szCs w:val="24"/>
        </w:rPr>
        <w:t>“</w:t>
      </w:r>
      <w:r w:rsidR="00064C52" w:rsidRPr="001B61DE">
        <w:rPr>
          <w:rFonts w:cs="Times New Roman"/>
          <w:bCs/>
          <w:szCs w:val="24"/>
        </w:rPr>
        <w:t>deception</w:t>
      </w:r>
      <w:r w:rsidR="00963F88" w:rsidRPr="001B61DE">
        <w:rPr>
          <w:rFonts w:cs="Times New Roman"/>
          <w:bCs/>
          <w:szCs w:val="24"/>
        </w:rPr>
        <w:t>”</w:t>
      </w:r>
      <w:r w:rsidR="00064C52" w:rsidRPr="001B61DE">
        <w:rPr>
          <w:rFonts w:cs="Times New Roman"/>
          <w:bCs/>
          <w:szCs w:val="24"/>
        </w:rPr>
        <w:t xml:space="preserve"> in the service of </w:t>
      </w:r>
      <w:r w:rsidR="00963F88" w:rsidRPr="001B61DE">
        <w:rPr>
          <w:rFonts w:cs="Times New Roman"/>
          <w:bCs/>
          <w:szCs w:val="24"/>
        </w:rPr>
        <w:t>“</w:t>
      </w:r>
      <w:r w:rsidR="00410F6C" w:rsidRPr="001B61DE">
        <w:rPr>
          <w:rFonts w:cs="Times New Roman"/>
          <w:bCs/>
          <w:szCs w:val="24"/>
        </w:rPr>
        <w:t>psychologically</w:t>
      </w:r>
      <w:r w:rsidR="00064C52" w:rsidRPr="001B61DE">
        <w:rPr>
          <w:rFonts w:cs="Times New Roman"/>
          <w:bCs/>
          <w:szCs w:val="24"/>
        </w:rPr>
        <w:t xml:space="preserve"> oriented interrogation</w:t>
      </w:r>
      <w:r w:rsidR="00963F88" w:rsidRPr="001B61DE">
        <w:rPr>
          <w:rFonts w:cs="Times New Roman"/>
          <w:bCs/>
          <w:szCs w:val="24"/>
        </w:rPr>
        <w:t>”</w:t>
      </w:r>
      <w:r w:rsidR="00AB621F" w:rsidRPr="001B61DE">
        <w:rPr>
          <w:rFonts w:cs="Times New Roman"/>
          <w:bCs/>
          <w:szCs w:val="24"/>
        </w:rPr>
        <w:t xml:space="preserve"> that “eclipse[s] individual will”</w:t>
      </w:r>
      <w:r w:rsidR="008C4985" w:rsidRPr="001B61DE">
        <w:rPr>
          <w:rFonts w:cs="Times New Roman"/>
          <w:bCs/>
          <w:szCs w:val="24"/>
        </w:rPr>
        <w:t>)</w:t>
      </w:r>
      <w:r w:rsidR="00094F29" w:rsidRPr="001B61DE">
        <w:rPr>
          <w:rFonts w:cs="Times New Roman"/>
          <w:bCs/>
          <w:szCs w:val="24"/>
        </w:rPr>
        <w:t xml:space="preserve">; </w:t>
      </w:r>
      <w:r w:rsidR="008402F0" w:rsidRPr="001B61DE">
        <w:rPr>
          <w:rFonts w:cs="Times New Roman"/>
          <w:bCs/>
          <w:szCs w:val="24"/>
        </w:rPr>
        <w:t xml:space="preserve">in other words </w:t>
      </w:r>
      <w:r w:rsidR="00094F29" w:rsidRPr="001B61DE">
        <w:rPr>
          <w:rFonts w:cs="Times New Roman"/>
          <w:bCs/>
          <w:szCs w:val="24"/>
        </w:rPr>
        <w:t>the statements must be given as a result of a “</w:t>
      </w:r>
      <w:r w:rsidR="00C5038C" w:rsidRPr="001B61DE">
        <w:rPr>
          <w:rFonts w:cs="Times New Roman"/>
          <w:bCs/>
          <w:szCs w:val="24"/>
        </w:rPr>
        <w:t xml:space="preserve"> ‘</w:t>
      </w:r>
      <w:r w:rsidR="00094F29" w:rsidRPr="001B61DE">
        <w:rPr>
          <w:rFonts w:cs="Times New Roman"/>
          <w:bCs/>
          <w:szCs w:val="24"/>
        </w:rPr>
        <w:t>free and unconstr</w:t>
      </w:r>
      <w:r w:rsidR="00BD25F6" w:rsidRPr="001B61DE">
        <w:rPr>
          <w:rFonts w:cs="Times New Roman"/>
          <w:bCs/>
          <w:szCs w:val="24"/>
        </w:rPr>
        <w:t>ained choice by [their] maker’</w:t>
      </w:r>
      <w:r w:rsidR="0083678B" w:rsidRPr="001B61DE">
        <w:rPr>
          <w:rFonts w:cs="Times New Roman"/>
          <w:bCs/>
          <w:szCs w:val="24"/>
        </w:rPr>
        <w:t xml:space="preserve"> </w:t>
      </w:r>
      <w:r w:rsidR="00BD25F6" w:rsidRPr="001B61DE">
        <w:rPr>
          <w:rFonts w:cs="Times New Roman"/>
          <w:bCs/>
          <w:szCs w:val="24"/>
        </w:rPr>
        <w:t>”</w:t>
      </w:r>
      <w:r w:rsidR="008B4D87" w:rsidRPr="001B61DE">
        <w:rPr>
          <w:rFonts w:cs="Times New Roman"/>
          <w:bCs/>
          <w:szCs w:val="24"/>
        </w:rPr>
        <w:t xml:space="preserve"> </w:t>
      </w:r>
      <w:r w:rsidR="002F62C2" w:rsidRPr="001B61DE">
        <w:rPr>
          <w:rFonts w:cs="Times New Roman"/>
          <w:bCs/>
          <w:szCs w:val="24"/>
        </w:rPr>
        <w:t>(</w:t>
      </w:r>
      <w:r w:rsidR="00BD25F6" w:rsidRPr="001B61DE">
        <w:rPr>
          <w:rFonts w:cs="Times New Roman"/>
          <w:bCs/>
          <w:i/>
          <w:iCs/>
          <w:szCs w:val="24"/>
        </w:rPr>
        <w:t>People v Thomas</w:t>
      </w:r>
      <w:r w:rsidR="00BD25F6" w:rsidRPr="001B61DE">
        <w:rPr>
          <w:rFonts w:cs="Times New Roman"/>
          <w:bCs/>
          <w:szCs w:val="24"/>
        </w:rPr>
        <w:t>, 22 NY3d 629, 641</w:t>
      </w:r>
      <w:r w:rsidR="002D0D2F" w:rsidRPr="001B61DE">
        <w:rPr>
          <w:rFonts w:cs="Times New Roman"/>
          <w:bCs/>
          <w:szCs w:val="24"/>
        </w:rPr>
        <w:t>-642</w:t>
      </w:r>
      <w:r w:rsidR="00BD25F6" w:rsidRPr="001B61DE">
        <w:rPr>
          <w:rFonts w:cs="Times New Roman"/>
          <w:bCs/>
          <w:szCs w:val="24"/>
        </w:rPr>
        <w:t xml:space="preserve"> [2014]</w:t>
      </w:r>
      <w:r w:rsidR="00C02C71" w:rsidRPr="001B61DE">
        <w:rPr>
          <w:rFonts w:cs="Times New Roman"/>
          <w:bCs/>
          <w:szCs w:val="24"/>
        </w:rPr>
        <w:t>)</w:t>
      </w:r>
      <w:r w:rsidR="008402F0" w:rsidRPr="001B61DE">
        <w:rPr>
          <w:rFonts w:cs="Times New Roman"/>
          <w:bCs/>
          <w:szCs w:val="24"/>
        </w:rPr>
        <w:t>.</w:t>
      </w:r>
      <w:r w:rsidR="00D13553" w:rsidRPr="001B61DE">
        <w:rPr>
          <w:rFonts w:cs="Times New Roman"/>
          <w:bCs/>
          <w:szCs w:val="24"/>
        </w:rPr>
        <w:t xml:space="preserve"> </w:t>
      </w:r>
      <w:r w:rsidR="00B02191" w:rsidRPr="001B61DE">
        <w:rPr>
          <w:rFonts w:cs="Times New Roman"/>
          <w:bCs/>
          <w:szCs w:val="24"/>
        </w:rPr>
        <w:t>Also</w:t>
      </w:r>
      <w:r w:rsidR="005014B7" w:rsidRPr="001B61DE">
        <w:rPr>
          <w:rFonts w:cs="Times New Roman"/>
          <w:bCs/>
          <w:szCs w:val="24"/>
        </w:rPr>
        <w:t>,</w:t>
      </w:r>
      <w:r w:rsidR="00B02191" w:rsidRPr="001B61DE">
        <w:rPr>
          <w:rFonts w:cs="Times New Roman"/>
          <w:bCs/>
          <w:szCs w:val="24"/>
        </w:rPr>
        <w:t xml:space="preserve"> a statement obtained </w:t>
      </w:r>
      <w:r w:rsidR="005014B7" w:rsidRPr="001B61DE">
        <w:rPr>
          <w:rFonts w:cs="Times New Roman"/>
          <w:bCs/>
          <w:szCs w:val="24"/>
        </w:rPr>
        <w:t>by a grant of immunity is involuntary</w:t>
      </w:r>
      <w:r w:rsidR="002D0D2F" w:rsidRPr="001B61DE">
        <w:rPr>
          <w:rFonts w:cs="Times New Roman"/>
          <w:bCs/>
          <w:szCs w:val="24"/>
        </w:rPr>
        <w:t xml:space="preserve"> </w:t>
      </w:r>
      <w:r w:rsidR="00C02C71" w:rsidRPr="001B61DE">
        <w:rPr>
          <w:rFonts w:cs="Times New Roman"/>
          <w:bCs/>
          <w:szCs w:val="24"/>
        </w:rPr>
        <w:t>(</w:t>
      </w:r>
      <w:r w:rsidR="002867EB" w:rsidRPr="001B61DE">
        <w:rPr>
          <w:rFonts w:cs="Times New Roman"/>
          <w:bCs/>
          <w:i/>
          <w:iCs/>
          <w:szCs w:val="24"/>
        </w:rPr>
        <w:t>New Jersey v Portash</w:t>
      </w:r>
      <w:r w:rsidR="002867EB" w:rsidRPr="001B61DE">
        <w:rPr>
          <w:rFonts w:cs="Times New Roman"/>
          <w:bCs/>
          <w:szCs w:val="24"/>
        </w:rPr>
        <w:t>, 440 US 450, 459</w:t>
      </w:r>
      <w:r w:rsidR="00C12249" w:rsidRPr="001B61DE">
        <w:rPr>
          <w:rFonts w:cs="Times New Roman"/>
          <w:bCs/>
          <w:szCs w:val="24"/>
        </w:rPr>
        <w:t xml:space="preserve"> </w:t>
      </w:r>
      <w:r w:rsidR="002867EB" w:rsidRPr="001B61DE">
        <w:rPr>
          <w:rFonts w:cs="Times New Roman"/>
          <w:bCs/>
          <w:szCs w:val="24"/>
        </w:rPr>
        <w:t>[1979]</w:t>
      </w:r>
      <w:r w:rsidR="002867EB" w:rsidRPr="001B61DE">
        <w:rPr>
          <w:rFonts w:cs="Times New Roman"/>
          <w:bCs/>
          <w:i/>
          <w:iCs/>
          <w:szCs w:val="24"/>
        </w:rPr>
        <w:t xml:space="preserve"> </w:t>
      </w:r>
      <w:r w:rsidR="002867EB" w:rsidRPr="001B61DE">
        <w:rPr>
          <w:rFonts w:cs="Times New Roman"/>
          <w:bCs/>
          <w:szCs w:val="24"/>
        </w:rPr>
        <w:t>[“Testimony given in response to a grant of legislative immunity is the essence of coerced testimony”]</w:t>
      </w:r>
      <w:r w:rsidR="00C02C71" w:rsidRPr="001B61DE">
        <w:rPr>
          <w:rFonts w:cs="Times New Roman"/>
          <w:bCs/>
          <w:szCs w:val="24"/>
        </w:rPr>
        <w:t>)</w:t>
      </w:r>
      <w:r w:rsidR="002867EB" w:rsidRPr="001B61DE">
        <w:rPr>
          <w:rFonts w:cs="Times New Roman"/>
          <w:bCs/>
          <w:szCs w:val="24"/>
        </w:rPr>
        <w:t>.</w:t>
      </w:r>
    </w:p>
    <w:p w14:paraId="2347A31D" w14:textId="087186C0" w:rsidR="005B2B6F" w:rsidRPr="001B61DE" w:rsidRDefault="005B2B6F" w:rsidP="00706F04">
      <w:pPr>
        <w:shd w:val="clear" w:color="auto" w:fill="FFFFFF"/>
        <w:spacing w:line="240" w:lineRule="auto"/>
        <w:ind w:left="0"/>
        <w:rPr>
          <w:rFonts w:cs="Times New Roman"/>
          <w:bCs/>
          <w:szCs w:val="24"/>
        </w:rPr>
      </w:pPr>
    </w:p>
    <w:p w14:paraId="45F900D7" w14:textId="2C7FB6AE" w:rsidR="00BE70E1" w:rsidRPr="001B61DE" w:rsidRDefault="00706F04" w:rsidP="00706F04">
      <w:pPr>
        <w:shd w:val="clear" w:color="auto" w:fill="FFFFFF"/>
        <w:tabs>
          <w:tab w:val="left" w:pos="720"/>
        </w:tabs>
        <w:spacing w:line="240" w:lineRule="auto"/>
        <w:ind w:left="0"/>
        <w:rPr>
          <w:rFonts w:cs="Times New Roman"/>
          <w:bCs/>
          <w:szCs w:val="24"/>
          <w:lang w:val="x-none"/>
        </w:rPr>
      </w:pPr>
      <w:r w:rsidRPr="001B61DE">
        <w:rPr>
          <w:rFonts w:cs="Times New Roman"/>
          <w:bCs/>
          <w:i/>
          <w:iCs/>
          <w:szCs w:val="24"/>
        </w:rPr>
        <w:tab/>
      </w:r>
      <w:r w:rsidR="00820237" w:rsidRPr="001B61DE">
        <w:rPr>
          <w:rFonts w:cs="Times New Roman"/>
          <w:bCs/>
          <w:i/>
          <w:iCs/>
          <w:szCs w:val="24"/>
        </w:rPr>
        <w:t>Harris</w:t>
      </w:r>
      <w:r w:rsidR="00262B73" w:rsidRPr="001B61DE">
        <w:rPr>
          <w:rFonts w:cs="Times New Roman"/>
          <w:bCs/>
          <w:i/>
          <w:iCs/>
          <w:szCs w:val="24"/>
        </w:rPr>
        <w:t xml:space="preserve"> </w:t>
      </w:r>
      <w:r w:rsidR="00735C1D" w:rsidRPr="001B61DE">
        <w:rPr>
          <w:rFonts w:cs="Times New Roman"/>
          <w:bCs/>
          <w:szCs w:val="24"/>
        </w:rPr>
        <w:t xml:space="preserve">authorized </w:t>
      </w:r>
      <w:r w:rsidR="00554662" w:rsidRPr="001B61DE">
        <w:rPr>
          <w:rFonts w:cs="Times New Roman"/>
          <w:bCs/>
          <w:szCs w:val="24"/>
        </w:rPr>
        <w:t>t</w:t>
      </w:r>
      <w:r w:rsidR="00735C1D" w:rsidRPr="001B61DE">
        <w:rPr>
          <w:rFonts w:cs="Times New Roman"/>
          <w:bCs/>
          <w:szCs w:val="24"/>
        </w:rPr>
        <w:t>he use of the defendant’s prior statement for impeachment</w:t>
      </w:r>
      <w:r w:rsidR="00D41234" w:rsidRPr="001B61DE">
        <w:rPr>
          <w:rFonts w:cs="Times New Roman"/>
          <w:bCs/>
          <w:szCs w:val="24"/>
        </w:rPr>
        <w:t xml:space="preserve"> </w:t>
      </w:r>
      <w:r w:rsidR="009274A7" w:rsidRPr="001B61DE">
        <w:rPr>
          <w:rFonts w:cs="Times New Roman"/>
          <w:bCs/>
          <w:szCs w:val="24"/>
        </w:rPr>
        <w:t>“provided of course that the trustworthiness of the evidence satisfies legal standards”</w:t>
      </w:r>
      <w:r w:rsidR="00262B73" w:rsidRPr="001B61DE">
        <w:rPr>
          <w:rFonts w:cs="Times New Roman"/>
          <w:bCs/>
          <w:szCs w:val="24"/>
        </w:rPr>
        <w:t xml:space="preserve"> </w:t>
      </w:r>
      <w:r w:rsidR="000B4ED8" w:rsidRPr="001B61DE">
        <w:rPr>
          <w:rFonts w:cs="Times New Roman"/>
          <w:bCs/>
          <w:szCs w:val="24"/>
        </w:rPr>
        <w:t>(</w:t>
      </w:r>
      <w:r w:rsidR="00262B73" w:rsidRPr="001B61DE">
        <w:rPr>
          <w:rFonts w:cs="Times New Roman"/>
          <w:bCs/>
          <w:szCs w:val="24"/>
        </w:rPr>
        <w:t>401 US at 224</w:t>
      </w:r>
      <w:r w:rsidR="000B4ED8" w:rsidRPr="001B61DE">
        <w:rPr>
          <w:rFonts w:cs="Times New Roman"/>
          <w:bCs/>
          <w:szCs w:val="24"/>
        </w:rPr>
        <w:t>)</w:t>
      </w:r>
      <w:r w:rsidR="00D62232" w:rsidRPr="001B61DE">
        <w:rPr>
          <w:rFonts w:cs="Times New Roman"/>
          <w:bCs/>
          <w:szCs w:val="24"/>
        </w:rPr>
        <w:t xml:space="preserve">.  </w:t>
      </w:r>
      <w:r w:rsidR="000B4ED8" w:rsidRPr="001B61DE">
        <w:rPr>
          <w:rFonts w:cs="Times New Roman"/>
          <w:bCs/>
          <w:szCs w:val="24"/>
        </w:rPr>
        <w:t>T</w:t>
      </w:r>
      <w:r w:rsidR="006259E2" w:rsidRPr="001B61DE">
        <w:rPr>
          <w:rFonts w:cs="Times New Roman"/>
          <w:bCs/>
          <w:szCs w:val="24"/>
        </w:rPr>
        <w:t xml:space="preserve">hat proviso, however, was not intended to require a </w:t>
      </w:r>
      <w:r w:rsidR="002C2102" w:rsidRPr="001B61DE">
        <w:rPr>
          <w:rFonts w:cs="Times New Roman"/>
          <w:bCs/>
          <w:szCs w:val="24"/>
        </w:rPr>
        <w:t xml:space="preserve">judicial </w:t>
      </w:r>
      <w:r w:rsidR="006259E2" w:rsidRPr="001B61DE">
        <w:rPr>
          <w:rFonts w:cs="Times New Roman"/>
          <w:bCs/>
          <w:szCs w:val="24"/>
        </w:rPr>
        <w:t>determination of trustworthiness</w:t>
      </w:r>
      <w:r w:rsidR="00A72C3D" w:rsidRPr="001B61DE">
        <w:rPr>
          <w:rFonts w:cs="Times New Roman"/>
          <w:bCs/>
          <w:szCs w:val="24"/>
        </w:rPr>
        <w:t xml:space="preserve">; </w:t>
      </w:r>
      <w:r w:rsidR="00684289" w:rsidRPr="001B61DE">
        <w:rPr>
          <w:rFonts w:cs="Times New Roman"/>
          <w:bCs/>
          <w:szCs w:val="24"/>
        </w:rPr>
        <w:t xml:space="preserve">the purported inconsistent statement, </w:t>
      </w:r>
      <w:r w:rsidR="00A72C3D" w:rsidRPr="001B61DE">
        <w:rPr>
          <w:rFonts w:cs="Times New Roman"/>
          <w:bCs/>
          <w:szCs w:val="24"/>
        </w:rPr>
        <w:t>as with any purported inconsistent statement</w:t>
      </w:r>
      <w:r w:rsidR="00684289" w:rsidRPr="001B61DE">
        <w:rPr>
          <w:rFonts w:cs="Times New Roman"/>
          <w:bCs/>
          <w:szCs w:val="24"/>
        </w:rPr>
        <w:t>,</w:t>
      </w:r>
      <w:r w:rsidR="00A72C3D" w:rsidRPr="001B61DE">
        <w:rPr>
          <w:rFonts w:cs="Times New Roman"/>
          <w:bCs/>
          <w:szCs w:val="24"/>
        </w:rPr>
        <w:t xml:space="preserve"> </w:t>
      </w:r>
      <w:r w:rsidR="008F000B" w:rsidRPr="001B61DE">
        <w:rPr>
          <w:rFonts w:cs="Times New Roman"/>
          <w:bCs/>
          <w:szCs w:val="24"/>
        </w:rPr>
        <w:t>presents an issue of fact and credibility for the jury to decide</w:t>
      </w:r>
      <w:r w:rsidR="00D62232" w:rsidRPr="001B61DE">
        <w:rPr>
          <w:rFonts w:cs="Times New Roman"/>
          <w:bCs/>
          <w:szCs w:val="24"/>
        </w:rPr>
        <w:t xml:space="preserve"> </w:t>
      </w:r>
      <w:r w:rsidR="00D53ACE" w:rsidRPr="001B61DE">
        <w:rPr>
          <w:rFonts w:cs="Times New Roman"/>
          <w:bCs/>
          <w:szCs w:val="24"/>
        </w:rPr>
        <w:t>(</w:t>
      </w:r>
      <w:r w:rsidR="00BE70E1" w:rsidRPr="001B61DE">
        <w:rPr>
          <w:rFonts w:cs="Times New Roman"/>
          <w:bCs/>
          <w:i/>
          <w:szCs w:val="24"/>
          <w:lang w:val="x-none"/>
        </w:rPr>
        <w:t>People</w:t>
      </w:r>
      <w:r w:rsidR="00BE70E1" w:rsidRPr="001B61DE">
        <w:rPr>
          <w:rFonts w:cs="Times New Roman"/>
          <w:bCs/>
          <w:i/>
          <w:szCs w:val="24"/>
        </w:rPr>
        <w:t xml:space="preserve"> </w:t>
      </w:r>
      <w:r w:rsidR="00BE70E1" w:rsidRPr="001B61DE">
        <w:rPr>
          <w:rFonts w:cs="Times New Roman"/>
          <w:bCs/>
          <w:i/>
          <w:szCs w:val="24"/>
          <w:lang w:val="x-none"/>
        </w:rPr>
        <w:t>v Washington</w:t>
      </w:r>
      <w:r w:rsidR="00BE70E1" w:rsidRPr="001B61DE">
        <w:rPr>
          <w:rFonts w:cs="Times New Roman"/>
          <w:bCs/>
          <w:szCs w:val="24"/>
          <w:lang w:val="x-none"/>
        </w:rPr>
        <w:t xml:space="preserve">, 51 </w:t>
      </w:r>
      <w:r w:rsidR="00E4236F" w:rsidRPr="001B61DE">
        <w:rPr>
          <w:rFonts w:cs="Times New Roman"/>
          <w:bCs/>
          <w:szCs w:val="24"/>
          <w:lang w:val="x-none"/>
        </w:rPr>
        <w:t>NY</w:t>
      </w:r>
      <w:r w:rsidR="00BE70E1" w:rsidRPr="001B61DE">
        <w:rPr>
          <w:rFonts w:cs="Times New Roman"/>
          <w:bCs/>
          <w:szCs w:val="24"/>
          <w:lang w:val="x-none"/>
        </w:rPr>
        <w:t>2d 214</w:t>
      </w:r>
      <w:r w:rsidR="00833755" w:rsidRPr="001B61DE">
        <w:rPr>
          <w:rFonts w:cs="Times New Roman"/>
          <w:bCs/>
          <w:szCs w:val="24"/>
        </w:rPr>
        <w:t>, 221</w:t>
      </w:r>
      <w:r w:rsidR="00BE70E1" w:rsidRPr="001B61DE">
        <w:rPr>
          <w:rFonts w:cs="Times New Roman"/>
          <w:bCs/>
          <w:szCs w:val="24"/>
          <w:lang w:val="x-none"/>
        </w:rPr>
        <w:t xml:space="preserve"> </w:t>
      </w:r>
      <w:r w:rsidR="00BE70E1" w:rsidRPr="001B61DE">
        <w:rPr>
          <w:rFonts w:cs="Times New Roman"/>
          <w:bCs/>
          <w:szCs w:val="24"/>
        </w:rPr>
        <w:t>[</w:t>
      </w:r>
      <w:r w:rsidR="00BE70E1" w:rsidRPr="001B61DE">
        <w:rPr>
          <w:rFonts w:cs="Times New Roman"/>
          <w:bCs/>
          <w:szCs w:val="24"/>
          <w:lang w:val="x-none"/>
        </w:rPr>
        <w:t>1980</w:t>
      </w:r>
      <w:r w:rsidR="00BE70E1" w:rsidRPr="001B61DE">
        <w:rPr>
          <w:rFonts w:cs="Times New Roman"/>
          <w:bCs/>
          <w:szCs w:val="24"/>
        </w:rPr>
        <w:t>]</w:t>
      </w:r>
      <w:r w:rsidR="00D53ACE" w:rsidRPr="001B61DE">
        <w:rPr>
          <w:rFonts w:cs="Times New Roman"/>
          <w:bCs/>
          <w:szCs w:val="24"/>
        </w:rPr>
        <w:t>)</w:t>
      </w:r>
      <w:r w:rsidR="00BE70E1" w:rsidRPr="001B61DE">
        <w:rPr>
          <w:rFonts w:cs="Times New Roman"/>
          <w:bCs/>
          <w:szCs w:val="24"/>
          <w:lang w:val="x-none"/>
        </w:rPr>
        <w:t>.</w:t>
      </w:r>
    </w:p>
    <w:p w14:paraId="48CD117F" w14:textId="77777777" w:rsidR="00F329B3" w:rsidRPr="001B61DE" w:rsidRDefault="00F329B3" w:rsidP="00706F04">
      <w:pPr>
        <w:shd w:val="clear" w:color="auto" w:fill="FFFFFF"/>
        <w:spacing w:line="240" w:lineRule="auto"/>
        <w:ind w:left="0"/>
        <w:rPr>
          <w:rFonts w:cs="Times New Roman"/>
          <w:bCs/>
          <w:szCs w:val="24"/>
          <w:lang w:val="x-none"/>
        </w:rPr>
      </w:pPr>
    </w:p>
    <w:p w14:paraId="26FD8A3D" w14:textId="4AB20CD7" w:rsidR="00DA7CAB" w:rsidRPr="001B61DE" w:rsidRDefault="00706F04" w:rsidP="00706F04">
      <w:pPr>
        <w:tabs>
          <w:tab w:val="left" w:pos="720"/>
        </w:tabs>
        <w:kinsoku w:val="0"/>
        <w:overflowPunct w:val="0"/>
        <w:spacing w:line="240" w:lineRule="auto"/>
        <w:ind w:left="0"/>
        <w:textAlignment w:val="baseline"/>
        <w:rPr>
          <w:rFonts w:cs="Times New Roman"/>
          <w:bCs/>
          <w:szCs w:val="24"/>
        </w:rPr>
      </w:pPr>
      <w:r w:rsidRPr="001B61DE">
        <w:rPr>
          <w:rFonts w:cs="Times New Roman"/>
          <w:bCs/>
          <w:szCs w:val="24"/>
        </w:rPr>
        <w:tab/>
      </w:r>
      <w:r w:rsidR="00987932" w:rsidRPr="001B61DE">
        <w:rPr>
          <w:rFonts w:cs="Times New Roman"/>
          <w:bCs/>
          <w:szCs w:val="24"/>
        </w:rPr>
        <w:t>The defendant opens the door to impeachment once the defendant “recounts the events to which the prior inconsistent statement relates</w:t>
      </w:r>
      <w:r w:rsidR="005D53D9" w:rsidRPr="001B61DE">
        <w:rPr>
          <w:rFonts w:cs="Times New Roman"/>
          <w:bCs/>
          <w:szCs w:val="24"/>
        </w:rPr>
        <w:t xml:space="preserve">” </w:t>
      </w:r>
      <w:r w:rsidR="00A2580A" w:rsidRPr="001B61DE">
        <w:rPr>
          <w:rFonts w:cs="Times New Roman"/>
          <w:bCs/>
          <w:szCs w:val="24"/>
        </w:rPr>
        <w:t>(</w:t>
      </w:r>
      <w:r w:rsidR="004513FF" w:rsidRPr="001B61DE">
        <w:rPr>
          <w:rFonts w:cs="Times New Roman"/>
          <w:bCs/>
          <w:i/>
          <w:iCs/>
          <w:szCs w:val="24"/>
        </w:rPr>
        <w:t>People v</w:t>
      </w:r>
      <w:r w:rsidR="004513FF" w:rsidRPr="001B61DE">
        <w:rPr>
          <w:rFonts w:cs="Times New Roman"/>
          <w:bCs/>
          <w:szCs w:val="24"/>
        </w:rPr>
        <w:t xml:space="preserve"> </w:t>
      </w:r>
      <w:r w:rsidR="00A2580A" w:rsidRPr="001B61DE">
        <w:rPr>
          <w:rFonts w:cs="Times New Roman"/>
          <w:bCs/>
          <w:i/>
          <w:iCs/>
          <w:szCs w:val="24"/>
        </w:rPr>
        <w:t>Wise</w:t>
      </w:r>
      <w:r w:rsidR="003A44AC" w:rsidRPr="001B61DE">
        <w:rPr>
          <w:rFonts w:cs="Times New Roman"/>
          <w:bCs/>
          <w:szCs w:val="24"/>
        </w:rPr>
        <w:t xml:space="preserve">, 46 NY2d 321, </w:t>
      </w:r>
      <w:r w:rsidR="00384841" w:rsidRPr="001B61DE">
        <w:rPr>
          <w:rFonts w:cs="Times New Roman"/>
          <w:bCs/>
          <w:szCs w:val="24"/>
        </w:rPr>
        <w:t>327</w:t>
      </w:r>
      <w:r w:rsidR="004513FF" w:rsidRPr="001B61DE">
        <w:rPr>
          <w:rFonts w:cs="Times New Roman"/>
          <w:bCs/>
          <w:szCs w:val="24"/>
        </w:rPr>
        <w:t xml:space="preserve"> [1978]</w:t>
      </w:r>
      <w:r w:rsidR="00C16A01" w:rsidRPr="001B61DE">
        <w:rPr>
          <w:rFonts w:cs="Times New Roman"/>
          <w:bCs/>
          <w:szCs w:val="24"/>
        </w:rPr>
        <w:t xml:space="preserve">; </w:t>
      </w:r>
      <w:r w:rsidR="00573C50" w:rsidRPr="001B61DE">
        <w:rPr>
          <w:rFonts w:cs="Times New Roman"/>
          <w:bCs/>
          <w:i/>
          <w:iCs/>
          <w:szCs w:val="24"/>
        </w:rPr>
        <w:t>see</w:t>
      </w:r>
      <w:r w:rsidR="00573C50" w:rsidRPr="001B61DE">
        <w:rPr>
          <w:rFonts w:cs="Times New Roman"/>
          <w:bCs/>
          <w:szCs w:val="24"/>
        </w:rPr>
        <w:t xml:space="preserve"> </w:t>
      </w:r>
      <w:r w:rsidR="00C16A01" w:rsidRPr="001B61DE">
        <w:rPr>
          <w:rFonts w:cs="Times New Roman"/>
          <w:bCs/>
          <w:szCs w:val="24"/>
        </w:rPr>
        <w:t>Guide to NY Evid rule 4.</w:t>
      </w:r>
      <w:r w:rsidR="00233126">
        <w:rPr>
          <w:rFonts w:cs="Times New Roman"/>
          <w:bCs/>
          <w:szCs w:val="24"/>
        </w:rPr>
        <w:t xml:space="preserve">08, </w:t>
      </w:r>
      <w:r w:rsidR="00720C3D" w:rsidRPr="001B61DE">
        <w:rPr>
          <w:rFonts w:eastAsia="Times New Roman" w:cs="Times New Roman"/>
          <w:bCs/>
          <w:spacing w:val="2"/>
          <w:szCs w:val="24"/>
        </w:rPr>
        <w:t>“</w:t>
      </w:r>
      <w:r w:rsidR="00233126">
        <w:rPr>
          <w:rFonts w:eastAsia="Times New Roman" w:cs="Times New Roman"/>
          <w:bCs/>
          <w:spacing w:val="2"/>
          <w:szCs w:val="24"/>
        </w:rPr>
        <w:t>O</w:t>
      </w:r>
      <w:r w:rsidR="00720C3D" w:rsidRPr="001B61DE">
        <w:rPr>
          <w:rFonts w:eastAsia="Times New Roman" w:cs="Times New Roman"/>
          <w:bCs/>
          <w:spacing w:val="2"/>
          <w:szCs w:val="24"/>
        </w:rPr>
        <w:t xml:space="preserve">pen </w:t>
      </w:r>
      <w:r w:rsidR="00233126">
        <w:rPr>
          <w:rFonts w:eastAsia="Times New Roman" w:cs="Times New Roman"/>
          <w:bCs/>
          <w:spacing w:val="2"/>
          <w:szCs w:val="24"/>
        </w:rPr>
        <w:t>D</w:t>
      </w:r>
      <w:r w:rsidR="00845273" w:rsidRPr="001B61DE">
        <w:rPr>
          <w:rFonts w:eastAsia="Times New Roman" w:cs="Times New Roman"/>
          <w:bCs/>
          <w:spacing w:val="2"/>
          <w:szCs w:val="24"/>
        </w:rPr>
        <w:t>o</w:t>
      </w:r>
      <w:r w:rsidR="00720C3D" w:rsidRPr="001B61DE">
        <w:rPr>
          <w:rFonts w:eastAsia="Times New Roman" w:cs="Times New Roman"/>
          <w:bCs/>
          <w:spacing w:val="2"/>
          <w:szCs w:val="24"/>
        </w:rPr>
        <w:t xml:space="preserve">or” </w:t>
      </w:r>
      <w:r w:rsidR="00233126">
        <w:rPr>
          <w:rFonts w:eastAsia="Times New Roman" w:cs="Times New Roman"/>
          <w:bCs/>
          <w:spacing w:val="2"/>
          <w:szCs w:val="24"/>
        </w:rPr>
        <w:t>E</w:t>
      </w:r>
      <w:r w:rsidR="00720C3D" w:rsidRPr="001B61DE">
        <w:rPr>
          <w:rFonts w:eastAsia="Times New Roman" w:cs="Times New Roman"/>
          <w:bCs/>
          <w:spacing w:val="2"/>
          <w:szCs w:val="24"/>
        </w:rPr>
        <w:t>vidence</w:t>
      </w:r>
      <w:r w:rsidR="00EB3865" w:rsidRPr="001B61DE">
        <w:rPr>
          <w:rFonts w:eastAsia="Times New Roman" w:cs="Times New Roman"/>
          <w:bCs/>
          <w:spacing w:val="2"/>
          <w:szCs w:val="24"/>
        </w:rPr>
        <w:t>])</w:t>
      </w:r>
      <w:r w:rsidR="00A2580A" w:rsidRPr="001B61DE">
        <w:rPr>
          <w:rFonts w:cs="Times New Roman"/>
          <w:bCs/>
          <w:szCs w:val="24"/>
        </w:rPr>
        <w:t xml:space="preserve">. </w:t>
      </w:r>
      <w:r w:rsidR="00720C3D" w:rsidRPr="001B61DE">
        <w:rPr>
          <w:rFonts w:cs="Times New Roman"/>
          <w:bCs/>
          <w:szCs w:val="24"/>
        </w:rPr>
        <w:t xml:space="preserve">  </w:t>
      </w:r>
      <w:r w:rsidR="005D53D9" w:rsidRPr="001B61DE">
        <w:rPr>
          <w:rFonts w:cs="Times New Roman"/>
          <w:bCs/>
          <w:szCs w:val="24"/>
        </w:rPr>
        <w:t xml:space="preserve">As </w:t>
      </w:r>
      <w:r w:rsidR="005D53D9" w:rsidRPr="001B61DE">
        <w:rPr>
          <w:rFonts w:cs="Times New Roman"/>
          <w:bCs/>
          <w:i/>
          <w:iCs/>
          <w:szCs w:val="24"/>
        </w:rPr>
        <w:t>Wise</w:t>
      </w:r>
      <w:r w:rsidR="005D53D9" w:rsidRPr="001B61DE">
        <w:rPr>
          <w:rFonts w:cs="Times New Roman"/>
          <w:bCs/>
          <w:szCs w:val="24"/>
        </w:rPr>
        <w:t xml:space="preserve"> further explained: “</w:t>
      </w:r>
      <w:r w:rsidR="00B70AC3" w:rsidRPr="001B61DE">
        <w:rPr>
          <w:rFonts w:cs="Times New Roman"/>
          <w:bCs/>
          <w:szCs w:val="24"/>
        </w:rPr>
        <w:t>where a defendant</w:t>
      </w:r>
      <w:r w:rsidR="00D17B70">
        <w:rPr>
          <w:rFonts w:cs="Times New Roman"/>
          <w:bCs/>
          <w:szCs w:val="24"/>
        </w:rPr>
        <w:t>’</w:t>
      </w:r>
      <w:r w:rsidR="00B70AC3" w:rsidRPr="001B61DE">
        <w:rPr>
          <w:rFonts w:cs="Times New Roman"/>
          <w:bCs/>
          <w:szCs w:val="24"/>
        </w:rPr>
        <w:t>s trial testimony offers one version of the events in question, and his prior remark to a police officer suggests a contrary</w:t>
      </w:r>
      <w:r w:rsidR="00F97F22" w:rsidRPr="001B61DE">
        <w:rPr>
          <w:rFonts w:cs="Times New Roman"/>
          <w:bCs/>
          <w:szCs w:val="24"/>
        </w:rPr>
        <w:t xml:space="preserve"> </w:t>
      </w:r>
      <w:r w:rsidR="00B70AC3" w:rsidRPr="001B61DE">
        <w:rPr>
          <w:rFonts w:cs="Times New Roman"/>
          <w:bCs/>
          <w:szCs w:val="24"/>
        </w:rPr>
        <w:t>view of those events, the jury is entitled to hear the previous statement so that it may fully assess the witness</w:t>
      </w:r>
      <w:r w:rsidR="00D17B70">
        <w:rPr>
          <w:rFonts w:cs="Times New Roman"/>
          <w:bCs/>
          <w:szCs w:val="24"/>
        </w:rPr>
        <w:t>’</w:t>
      </w:r>
      <w:r w:rsidR="00B70AC3" w:rsidRPr="001B61DE">
        <w:rPr>
          <w:rFonts w:cs="Times New Roman"/>
          <w:bCs/>
          <w:szCs w:val="24"/>
        </w:rPr>
        <w:t xml:space="preserve"> credibility</w:t>
      </w:r>
      <w:r w:rsidR="00F97F22" w:rsidRPr="001B61DE">
        <w:rPr>
          <w:rFonts w:cs="Times New Roman"/>
          <w:bCs/>
          <w:szCs w:val="24"/>
        </w:rPr>
        <w:t xml:space="preserve">” </w:t>
      </w:r>
      <w:r w:rsidR="00073E1E" w:rsidRPr="001B61DE">
        <w:rPr>
          <w:rFonts w:cs="Times New Roman"/>
          <w:bCs/>
          <w:szCs w:val="24"/>
        </w:rPr>
        <w:t>(</w:t>
      </w:r>
      <w:r w:rsidR="00B70AC3" w:rsidRPr="001B61DE">
        <w:rPr>
          <w:rFonts w:cs="Times New Roman"/>
          <w:bCs/>
          <w:i/>
          <w:iCs/>
          <w:szCs w:val="24"/>
        </w:rPr>
        <w:t>Wise</w:t>
      </w:r>
      <w:r w:rsidR="00C46B2A" w:rsidRPr="001B61DE">
        <w:rPr>
          <w:rFonts w:cs="Times New Roman"/>
          <w:bCs/>
          <w:szCs w:val="24"/>
        </w:rPr>
        <w:t xml:space="preserve"> </w:t>
      </w:r>
      <w:r w:rsidR="00597A8E" w:rsidRPr="001B61DE">
        <w:rPr>
          <w:rFonts w:cs="Times New Roman"/>
          <w:bCs/>
          <w:szCs w:val="24"/>
        </w:rPr>
        <w:t>at</w:t>
      </w:r>
      <w:r w:rsidR="00B70AC3" w:rsidRPr="001B61DE">
        <w:rPr>
          <w:rFonts w:cs="Times New Roman"/>
          <w:bCs/>
          <w:szCs w:val="24"/>
        </w:rPr>
        <w:t xml:space="preserve"> 327-</w:t>
      </w:r>
      <w:r w:rsidR="002D0D2F" w:rsidRPr="001B61DE">
        <w:rPr>
          <w:rFonts w:cs="Times New Roman"/>
          <w:bCs/>
          <w:szCs w:val="24"/>
        </w:rPr>
        <w:t>3</w:t>
      </w:r>
      <w:r w:rsidR="00B70AC3" w:rsidRPr="001B61DE">
        <w:rPr>
          <w:rFonts w:cs="Times New Roman"/>
          <w:bCs/>
          <w:szCs w:val="24"/>
        </w:rPr>
        <w:t>28</w:t>
      </w:r>
      <w:r w:rsidR="002D0D2F" w:rsidRPr="001B61DE">
        <w:rPr>
          <w:rFonts w:cs="Times New Roman"/>
          <w:bCs/>
          <w:szCs w:val="24"/>
        </w:rPr>
        <w:t>;</w:t>
      </w:r>
      <w:r w:rsidR="00A72CE3" w:rsidRPr="001B61DE">
        <w:rPr>
          <w:rFonts w:cs="Times New Roman"/>
          <w:bCs/>
          <w:szCs w:val="24"/>
        </w:rPr>
        <w:t xml:space="preserve">  </w:t>
      </w:r>
      <w:r w:rsidR="002D0D2F" w:rsidRPr="001B61DE">
        <w:rPr>
          <w:rFonts w:cs="Times New Roman"/>
          <w:bCs/>
          <w:i/>
          <w:szCs w:val="24"/>
        </w:rPr>
        <w:t>c</w:t>
      </w:r>
      <w:r w:rsidR="00F97F22" w:rsidRPr="001B61DE">
        <w:rPr>
          <w:rFonts w:cs="Times New Roman"/>
          <w:bCs/>
          <w:i/>
          <w:iCs/>
          <w:szCs w:val="24"/>
        </w:rPr>
        <w:t>ompare</w:t>
      </w:r>
      <w:r w:rsidR="00F97F22" w:rsidRPr="001B61DE">
        <w:rPr>
          <w:rFonts w:cs="Times New Roman"/>
          <w:bCs/>
          <w:szCs w:val="24"/>
        </w:rPr>
        <w:t xml:space="preserve"> </w:t>
      </w:r>
      <w:r w:rsidR="00F97F22" w:rsidRPr="001B61DE">
        <w:rPr>
          <w:rFonts w:cs="Times New Roman"/>
          <w:bCs/>
          <w:i/>
          <w:iCs/>
          <w:szCs w:val="24"/>
        </w:rPr>
        <w:t>People v Rahming</w:t>
      </w:r>
      <w:r w:rsidR="002D0D2F" w:rsidRPr="001B61DE">
        <w:rPr>
          <w:rFonts w:cs="Times New Roman"/>
          <w:bCs/>
          <w:iCs/>
          <w:szCs w:val="24"/>
        </w:rPr>
        <w:t>,</w:t>
      </w:r>
      <w:r w:rsidR="00D61E58" w:rsidRPr="001B61DE">
        <w:rPr>
          <w:rFonts w:cs="Times New Roman"/>
          <w:bCs/>
          <w:szCs w:val="24"/>
        </w:rPr>
        <w:t xml:space="preserve"> </w:t>
      </w:r>
      <w:r w:rsidR="00F97F22" w:rsidRPr="001B61DE">
        <w:rPr>
          <w:rFonts w:cs="Times New Roman"/>
          <w:bCs/>
          <w:szCs w:val="24"/>
        </w:rPr>
        <w:t>26 NY2d 411, 418 [1970] [</w:t>
      </w:r>
      <w:r w:rsidR="00293F7E" w:rsidRPr="001B61DE">
        <w:rPr>
          <w:rFonts w:cs="Times New Roman"/>
          <w:bCs/>
          <w:szCs w:val="24"/>
        </w:rPr>
        <w:t xml:space="preserve">in this case, the prosecutor </w:t>
      </w:r>
      <w:r w:rsidR="008464AA" w:rsidRPr="001B61DE">
        <w:rPr>
          <w:rFonts w:cs="Times New Roman"/>
          <w:bCs/>
          <w:szCs w:val="24"/>
        </w:rPr>
        <w:t>erred in ranging “</w:t>
      </w:r>
      <w:r w:rsidR="00F97F22" w:rsidRPr="001B61DE">
        <w:rPr>
          <w:rFonts w:cs="Times New Roman"/>
          <w:bCs/>
          <w:szCs w:val="24"/>
        </w:rPr>
        <w:t>beyond the defendant</w:t>
      </w:r>
      <w:r w:rsidR="00D17B70">
        <w:rPr>
          <w:rFonts w:cs="Times New Roman"/>
          <w:bCs/>
          <w:szCs w:val="24"/>
        </w:rPr>
        <w:t>’</w:t>
      </w:r>
      <w:r w:rsidR="00F97F22" w:rsidRPr="001B61DE">
        <w:rPr>
          <w:rFonts w:cs="Times New Roman"/>
          <w:bCs/>
          <w:szCs w:val="24"/>
        </w:rPr>
        <w:t xml:space="preserve">s direct examination ‘in order to lay a foundation for the tainted evidence </w:t>
      </w:r>
      <w:r w:rsidR="00EB3865" w:rsidRPr="001B61DE">
        <w:rPr>
          <w:rFonts w:cs="Times New Roman"/>
          <w:bCs/>
          <w:szCs w:val="24"/>
        </w:rPr>
        <w:t>(</w:t>
      </w:r>
      <w:r w:rsidR="00F97F22" w:rsidRPr="001B61DE">
        <w:rPr>
          <w:rFonts w:cs="Times New Roman"/>
          <w:bCs/>
          <w:szCs w:val="24"/>
        </w:rPr>
        <w:t>i.e.</w:t>
      </w:r>
      <w:r w:rsidR="002D0D2F" w:rsidRPr="001B61DE">
        <w:rPr>
          <w:rFonts w:cs="Times New Roman"/>
          <w:bCs/>
          <w:szCs w:val="24"/>
        </w:rPr>
        <w:t>,</w:t>
      </w:r>
      <w:r w:rsidR="00F97F22" w:rsidRPr="001B61DE">
        <w:rPr>
          <w:rFonts w:cs="Times New Roman"/>
          <w:bCs/>
          <w:szCs w:val="24"/>
        </w:rPr>
        <w:t xml:space="preserve"> statement taken in violation of </w:t>
      </w:r>
      <w:r w:rsidR="00E4236F" w:rsidRPr="001B61DE">
        <w:rPr>
          <w:rFonts w:cs="Times New Roman"/>
          <w:bCs/>
          <w:szCs w:val="24"/>
        </w:rPr>
        <w:t>pre-interrogation</w:t>
      </w:r>
      <w:r w:rsidR="00F97F22" w:rsidRPr="001B61DE">
        <w:rPr>
          <w:rFonts w:cs="Times New Roman"/>
          <w:bCs/>
          <w:szCs w:val="24"/>
        </w:rPr>
        <w:t xml:space="preserve"> warnings</w:t>
      </w:r>
      <w:r w:rsidR="00EB3865" w:rsidRPr="001B61DE">
        <w:rPr>
          <w:rFonts w:cs="Times New Roman"/>
          <w:bCs/>
          <w:szCs w:val="24"/>
        </w:rPr>
        <w:t>)</w:t>
      </w:r>
      <w:r w:rsidR="00F97F22" w:rsidRPr="001B61DE">
        <w:rPr>
          <w:rFonts w:cs="Times New Roman"/>
          <w:bCs/>
          <w:szCs w:val="24"/>
        </w:rPr>
        <w:t xml:space="preserve"> on rebuttal’</w:t>
      </w:r>
      <w:r w:rsidR="002D0D2F" w:rsidRPr="001B61DE">
        <w:rPr>
          <w:rFonts w:cs="Times New Roman"/>
          <w:bCs/>
          <w:szCs w:val="24"/>
        </w:rPr>
        <w:t xml:space="preserve"> </w:t>
      </w:r>
      <w:r w:rsidR="00F97F22" w:rsidRPr="001B61DE">
        <w:rPr>
          <w:rFonts w:cs="Times New Roman"/>
          <w:bCs/>
          <w:szCs w:val="24"/>
        </w:rPr>
        <w:t xml:space="preserve">” </w:t>
      </w:r>
      <w:r w:rsidR="002D0D2F" w:rsidRPr="001B61DE">
        <w:rPr>
          <w:rFonts w:cs="Times New Roman"/>
          <w:bCs/>
          <w:szCs w:val="24"/>
        </w:rPr>
        <w:t>(</w:t>
      </w:r>
      <w:r w:rsidR="00F97F22" w:rsidRPr="001B61DE">
        <w:rPr>
          <w:rFonts w:cs="Times New Roman"/>
          <w:bCs/>
          <w:szCs w:val="24"/>
        </w:rPr>
        <w:t>citations omitted</w:t>
      </w:r>
      <w:r w:rsidR="002D0D2F" w:rsidRPr="001B61DE">
        <w:rPr>
          <w:rFonts w:cs="Times New Roman"/>
          <w:bCs/>
          <w:szCs w:val="24"/>
        </w:rPr>
        <w:t>)</w:t>
      </w:r>
      <w:r w:rsidR="00073E1E" w:rsidRPr="001B61DE">
        <w:rPr>
          <w:rFonts w:cs="Times New Roman"/>
          <w:bCs/>
          <w:szCs w:val="24"/>
        </w:rPr>
        <w:t>]</w:t>
      </w:r>
      <w:r w:rsidR="00587B11" w:rsidRPr="001B61DE">
        <w:rPr>
          <w:rFonts w:cs="Times New Roman"/>
          <w:bCs/>
          <w:szCs w:val="24"/>
        </w:rPr>
        <w:t xml:space="preserve">; </w:t>
      </w:r>
      <w:r w:rsidR="00DA7CAB" w:rsidRPr="001B61DE">
        <w:rPr>
          <w:rFonts w:cs="Times New Roman"/>
          <w:bCs/>
          <w:szCs w:val="24"/>
        </w:rPr>
        <w:t xml:space="preserve"> </w:t>
      </w:r>
      <w:r w:rsidR="00A22E59" w:rsidRPr="001B61DE">
        <w:rPr>
          <w:rFonts w:cs="Times New Roman"/>
          <w:bCs/>
          <w:i/>
          <w:iCs/>
          <w:szCs w:val="24"/>
        </w:rPr>
        <w:t>s</w:t>
      </w:r>
      <w:r w:rsidR="00DA7CAB" w:rsidRPr="001B61DE">
        <w:rPr>
          <w:rFonts w:cs="Times New Roman"/>
          <w:bCs/>
          <w:i/>
          <w:iCs/>
          <w:szCs w:val="24"/>
        </w:rPr>
        <w:t>ee</w:t>
      </w:r>
      <w:r w:rsidR="00DA7CAB" w:rsidRPr="001B61DE">
        <w:rPr>
          <w:rFonts w:cs="Times New Roman"/>
          <w:bCs/>
          <w:szCs w:val="24"/>
        </w:rPr>
        <w:t xml:space="preserve"> </w:t>
      </w:r>
      <w:r w:rsidR="00DA7CAB" w:rsidRPr="001B61DE">
        <w:rPr>
          <w:rFonts w:cs="Times New Roman"/>
          <w:bCs/>
          <w:i/>
          <w:iCs/>
          <w:szCs w:val="24"/>
        </w:rPr>
        <w:t>Havens</w:t>
      </w:r>
      <w:r w:rsidR="00DA7CAB" w:rsidRPr="001B61DE">
        <w:rPr>
          <w:rFonts w:cs="Times New Roman"/>
          <w:bCs/>
          <w:szCs w:val="24"/>
        </w:rPr>
        <w:t xml:space="preserve">, 446 US </w:t>
      </w:r>
      <w:r w:rsidR="00C91F88" w:rsidRPr="001B61DE">
        <w:rPr>
          <w:rFonts w:cs="Times New Roman"/>
          <w:bCs/>
          <w:szCs w:val="24"/>
        </w:rPr>
        <w:t>620</w:t>
      </w:r>
      <w:r w:rsidR="00DA7CAB" w:rsidRPr="001B61DE">
        <w:rPr>
          <w:rFonts w:cs="Times New Roman"/>
          <w:bCs/>
          <w:szCs w:val="24"/>
        </w:rPr>
        <w:t>).</w:t>
      </w:r>
    </w:p>
    <w:p w14:paraId="7B4F866B" w14:textId="34E4B880" w:rsidR="00820237" w:rsidRPr="001B61DE" w:rsidRDefault="00820237" w:rsidP="00706F04">
      <w:pPr>
        <w:spacing w:line="240" w:lineRule="auto"/>
        <w:ind w:left="0"/>
        <w:rPr>
          <w:rFonts w:cs="Times New Roman"/>
          <w:bCs/>
          <w:szCs w:val="24"/>
        </w:rPr>
      </w:pPr>
    </w:p>
    <w:p w14:paraId="603B1053" w14:textId="7DED1A86" w:rsidR="009C5FEB" w:rsidRPr="001B61DE" w:rsidRDefault="00706F04" w:rsidP="00706F04">
      <w:pPr>
        <w:tabs>
          <w:tab w:val="left" w:pos="720"/>
        </w:tabs>
        <w:spacing w:line="240" w:lineRule="auto"/>
        <w:ind w:left="0"/>
        <w:rPr>
          <w:rFonts w:cs="Times New Roman"/>
          <w:bCs/>
          <w:szCs w:val="24"/>
        </w:rPr>
      </w:pPr>
      <w:r w:rsidRPr="001B61DE">
        <w:rPr>
          <w:rFonts w:cs="Times New Roman"/>
          <w:b/>
          <w:szCs w:val="24"/>
        </w:rPr>
        <w:tab/>
      </w:r>
      <w:r w:rsidR="00697869" w:rsidRPr="001B61DE">
        <w:rPr>
          <w:rFonts w:cs="Times New Roman"/>
          <w:b/>
          <w:szCs w:val="24"/>
        </w:rPr>
        <w:t>Subdivision (2)</w:t>
      </w:r>
      <w:r w:rsidR="00697869" w:rsidRPr="001B61DE">
        <w:rPr>
          <w:rFonts w:cs="Times New Roman"/>
          <w:bCs/>
          <w:szCs w:val="24"/>
        </w:rPr>
        <w:t xml:space="preserve"> is derived from the holdings of the United States Supreme Court</w:t>
      </w:r>
      <w:r w:rsidR="000E1B03" w:rsidRPr="001B61DE">
        <w:rPr>
          <w:rFonts w:cs="Times New Roman"/>
          <w:bCs/>
          <w:szCs w:val="24"/>
        </w:rPr>
        <w:t>.</w:t>
      </w:r>
      <w:r w:rsidR="00A72CE3" w:rsidRPr="001B61DE">
        <w:rPr>
          <w:rFonts w:cs="Times New Roman"/>
          <w:bCs/>
          <w:szCs w:val="24"/>
        </w:rPr>
        <w:t xml:space="preserve">  </w:t>
      </w:r>
      <w:r w:rsidR="00697869" w:rsidRPr="001B61DE">
        <w:rPr>
          <w:rFonts w:cs="Times New Roman"/>
          <w:bCs/>
          <w:szCs w:val="24"/>
        </w:rPr>
        <w:t>(</w:t>
      </w:r>
      <w:r w:rsidR="00697869" w:rsidRPr="001B61DE">
        <w:rPr>
          <w:rFonts w:cs="Times New Roman"/>
          <w:bCs/>
          <w:i/>
          <w:iCs/>
          <w:szCs w:val="24"/>
        </w:rPr>
        <w:t>See</w:t>
      </w:r>
      <w:r w:rsidR="00697869" w:rsidRPr="001B61DE">
        <w:rPr>
          <w:rFonts w:cs="Times New Roman"/>
          <w:bCs/>
          <w:szCs w:val="24"/>
        </w:rPr>
        <w:t xml:space="preserve"> </w:t>
      </w:r>
      <w:r w:rsidR="00697869" w:rsidRPr="001B61DE">
        <w:rPr>
          <w:rFonts w:cs="Times New Roman"/>
          <w:bCs/>
          <w:i/>
          <w:iCs/>
          <w:szCs w:val="24"/>
        </w:rPr>
        <w:t>Walder v United States</w:t>
      </w:r>
      <w:r w:rsidR="00697869" w:rsidRPr="001B61DE">
        <w:rPr>
          <w:rFonts w:cs="Times New Roman"/>
          <w:bCs/>
          <w:szCs w:val="24"/>
        </w:rPr>
        <w:t>, 347 US 62,</w:t>
      </w:r>
      <w:r w:rsidR="00250E24" w:rsidRPr="001B61DE">
        <w:rPr>
          <w:rFonts w:cs="Times New Roman"/>
          <w:bCs/>
          <w:szCs w:val="24"/>
        </w:rPr>
        <w:t xml:space="preserve"> 64 </w:t>
      </w:r>
      <w:r w:rsidR="00697869" w:rsidRPr="001B61DE">
        <w:rPr>
          <w:rFonts w:cs="Times New Roman"/>
          <w:bCs/>
          <w:szCs w:val="24"/>
        </w:rPr>
        <w:t>[1954] [the defendant</w:t>
      </w:r>
      <w:r w:rsidR="00D17B70">
        <w:rPr>
          <w:rFonts w:cs="Times New Roman"/>
          <w:bCs/>
          <w:szCs w:val="24"/>
        </w:rPr>
        <w:t>’</w:t>
      </w:r>
      <w:r w:rsidR="00697869" w:rsidRPr="001B61DE">
        <w:rPr>
          <w:rFonts w:cs="Times New Roman"/>
          <w:bCs/>
          <w:szCs w:val="24"/>
        </w:rPr>
        <w:t xml:space="preserve">s </w:t>
      </w:r>
      <w:r w:rsidR="000059BB" w:rsidRPr="001B61DE">
        <w:rPr>
          <w:rFonts w:cs="Times New Roman"/>
          <w:bCs/>
          <w:szCs w:val="24"/>
        </w:rPr>
        <w:t>testimony</w:t>
      </w:r>
      <w:r w:rsidR="00697869" w:rsidRPr="001B61DE">
        <w:rPr>
          <w:rFonts w:cs="Times New Roman"/>
          <w:bCs/>
          <w:szCs w:val="24"/>
        </w:rPr>
        <w:t xml:space="preserve"> on direct examination that he had never possessed any narcotics opened the door, solely for the purpose of attacking the defendant</w:t>
      </w:r>
      <w:r w:rsidR="00D17B70">
        <w:rPr>
          <w:rFonts w:cs="Times New Roman"/>
          <w:bCs/>
          <w:szCs w:val="24"/>
        </w:rPr>
        <w:t>’</w:t>
      </w:r>
      <w:r w:rsidR="00697869" w:rsidRPr="001B61DE">
        <w:rPr>
          <w:rFonts w:cs="Times New Roman"/>
          <w:bCs/>
          <w:szCs w:val="24"/>
        </w:rPr>
        <w:t>s credibility, to evidence of the heroin unlawfully seized from him in connection with a prior case that was dismissed due to the illegal seizure of the heroin];</w:t>
      </w:r>
      <w:r w:rsidR="00697869" w:rsidRPr="001B61DE">
        <w:rPr>
          <w:rFonts w:cs="Times New Roman"/>
          <w:bCs/>
          <w:i/>
          <w:iCs/>
          <w:szCs w:val="24"/>
        </w:rPr>
        <w:t xml:space="preserve"> Havens</w:t>
      </w:r>
      <w:r w:rsidR="00697869" w:rsidRPr="001B61DE">
        <w:rPr>
          <w:rFonts w:cs="Times New Roman"/>
          <w:bCs/>
          <w:szCs w:val="24"/>
        </w:rPr>
        <w:t xml:space="preserve">, 446 US </w:t>
      </w:r>
      <w:r w:rsidR="00C91F88" w:rsidRPr="001B61DE">
        <w:rPr>
          <w:rFonts w:cs="Times New Roman"/>
          <w:bCs/>
          <w:szCs w:val="24"/>
        </w:rPr>
        <w:t>at 627-</w:t>
      </w:r>
      <w:r w:rsidR="0092646D" w:rsidRPr="001B61DE">
        <w:rPr>
          <w:rFonts w:cs="Times New Roman"/>
          <w:bCs/>
          <w:szCs w:val="24"/>
        </w:rPr>
        <w:t>6</w:t>
      </w:r>
      <w:r w:rsidR="00C91F88" w:rsidRPr="001B61DE">
        <w:rPr>
          <w:rFonts w:cs="Times New Roman"/>
          <w:bCs/>
          <w:szCs w:val="24"/>
        </w:rPr>
        <w:t>28 [holding that “a defendant</w:t>
      </w:r>
      <w:r w:rsidR="00D17B70">
        <w:rPr>
          <w:rFonts w:cs="Times New Roman"/>
          <w:bCs/>
          <w:szCs w:val="24"/>
        </w:rPr>
        <w:t>’</w:t>
      </w:r>
      <w:r w:rsidR="00C91F88" w:rsidRPr="001B61DE">
        <w:rPr>
          <w:rFonts w:cs="Times New Roman"/>
          <w:bCs/>
          <w:szCs w:val="24"/>
        </w:rPr>
        <w:t>s statements made in response to proper cross-examination reasonably suggested by the defendant</w:t>
      </w:r>
      <w:r w:rsidR="00D17B70">
        <w:rPr>
          <w:rFonts w:cs="Times New Roman"/>
          <w:bCs/>
          <w:szCs w:val="24"/>
        </w:rPr>
        <w:t>’</w:t>
      </w:r>
      <w:r w:rsidR="00C91F88" w:rsidRPr="001B61DE">
        <w:rPr>
          <w:rFonts w:cs="Times New Roman"/>
          <w:bCs/>
          <w:szCs w:val="24"/>
        </w:rPr>
        <w:t>s direct examination are subject to otherwise proper impeachment by the government, albeit by evidence that has been illegally obtained and that is inadmissible on the government</w:t>
      </w:r>
      <w:r w:rsidR="00D17B70">
        <w:rPr>
          <w:rFonts w:cs="Times New Roman"/>
          <w:bCs/>
          <w:szCs w:val="24"/>
        </w:rPr>
        <w:t>’</w:t>
      </w:r>
      <w:r w:rsidR="00C91F88" w:rsidRPr="001B61DE">
        <w:rPr>
          <w:rFonts w:cs="Times New Roman"/>
          <w:bCs/>
          <w:szCs w:val="24"/>
        </w:rPr>
        <w:t>s direct case, or otherwise, as substantive evidence of guilt”]</w:t>
      </w:r>
      <w:r w:rsidR="009C773E" w:rsidRPr="001B61DE">
        <w:rPr>
          <w:rFonts w:cs="Times New Roman"/>
          <w:bCs/>
          <w:szCs w:val="24"/>
        </w:rPr>
        <w:t>;</w:t>
      </w:r>
      <w:r w:rsidR="00A364ED" w:rsidRPr="001B61DE">
        <w:rPr>
          <w:rFonts w:cs="Times New Roman"/>
          <w:bCs/>
          <w:szCs w:val="24"/>
        </w:rPr>
        <w:t xml:space="preserve"> </w:t>
      </w:r>
      <w:r w:rsidR="009C773E" w:rsidRPr="001B61DE">
        <w:rPr>
          <w:rFonts w:cs="Times New Roman"/>
          <w:bCs/>
          <w:i/>
          <w:szCs w:val="24"/>
        </w:rPr>
        <w:t>s</w:t>
      </w:r>
      <w:r w:rsidR="00A364ED" w:rsidRPr="001B61DE">
        <w:rPr>
          <w:rFonts w:cs="Times New Roman"/>
          <w:bCs/>
          <w:i/>
          <w:iCs/>
          <w:szCs w:val="24"/>
        </w:rPr>
        <w:t xml:space="preserve">ee </w:t>
      </w:r>
      <w:r w:rsidR="008D0165" w:rsidRPr="001B61DE">
        <w:rPr>
          <w:rFonts w:cs="Times New Roman"/>
          <w:bCs/>
          <w:i/>
          <w:iCs/>
          <w:szCs w:val="24"/>
        </w:rPr>
        <w:t>United States v Leon</w:t>
      </w:r>
      <w:r w:rsidR="008D0165" w:rsidRPr="001B61DE">
        <w:rPr>
          <w:rFonts w:cs="Times New Roman"/>
          <w:bCs/>
          <w:szCs w:val="24"/>
        </w:rPr>
        <w:t>, 468 US 897</w:t>
      </w:r>
      <w:r w:rsidR="00FE2A5E" w:rsidRPr="001B61DE">
        <w:rPr>
          <w:rFonts w:cs="Times New Roman"/>
          <w:bCs/>
          <w:szCs w:val="24"/>
        </w:rPr>
        <w:t xml:space="preserve">, </w:t>
      </w:r>
      <w:r w:rsidR="008D0165" w:rsidRPr="001B61DE">
        <w:rPr>
          <w:rFonts w:cs="Times New Roman"/>
          <w:bCs/>
          <w:szCs w:val="24"/>
        </w:rPr>
        <w:t>910</w:t>
      </w:r>
      <w:r w:rsidR="00EB5760" w:rsidRPr="001B61DE">
        <w:rPr>
          <w:rFonts w:cs="Times New Roman"/>
          <w:bCs/>
          <w:szCs w:val="24"/>
        </w:rPr>
        <w:t xml:space="preserve"> </w:t>
      </w:r>
      <w:r w:rsidR="008D0165" w:rsidRPr="001B61DE">
        <w:rPr>
          <w:rFonts w:cs="Times New Roman"/>
          <w:bCs/>
          <w:szCs w:val="24"/>
        </w:rPr>
        <w:t>[1984]</w:t>
      </w:r>
      <w:r w:rsidR="00EB5760" w:rsidRPr="001B61DE">
        <w:rPr>
          <w:rFonts w:cs="Times New Roman"/>
          <w:bCs/>
          <w:szCs w:val="24"/>
        </w:rPr>
        <w:t xml:space="preserve"> [</w:t>
      </w:r>
      <w:r w:rsidR="007F480F" w:rsidRPr="001B61DE">
        <w:rPr>
          <w:rFonts w:cs="Times New Roman"/>
          <w:bCs/>
          <w:szCs w:val="24"/>
        </w:rPr>
        <w:t>“</w:t>
      </w:r>
      <w:r w:rsidR="008D0165" w:rsidRPr="001B61DE">
        <w:rPr>
          <w:rFonts w:cs="Times New Roman"/>
          <w:bCs/>
          <w:szCs w:val="24"/>
        </w:rPr>
        <w:t>Evidence obtained in violation of the Fourth Amendment and inadmissible in the prosecution</w:t>
      </w:r>
      <w:r w:rsidR="00D17B70">
        <w:rPr>
          <w:rFonts w:cs="Times New Roman"/>
          <w:bCs/>
          <w:szCs w:val="24"/>
        </w:rPr>
        <w:t>’</w:t>
      </w:r>
      <w:r w:rsidR="008D0165" w:rsidRPr="001B61DE">
        <w:rPr>
          <w:rFonts w:cs="Times New Roman"/>
          <w:bCs/>
          <w:szCs w:val="24"/>
        </w:rPr>
        <w:t>s case in chief may be used to impeach a defendant</w:t>
      </w:r>
      <w:r w:rsidR="00D17B70">
        <w:rPr>
          <w:rFonts w:cs="Times New Roman"/>
          <w:bCs/>
          <w:szCs w:val="24"/>
        </w:rPr>
        <w:t>’</w:t>
      </w:r>
      <w:r w:rsidR="008D0165" w:rsidRPr="001B61DE">
        <w:rPr>
          <w:rFonts w:cs="Times New Roman"/>
          <w:bCs/>
          <w:szCs w:val="24"/>
        </w:rPr>
        <w:t>s direct testimony</w:t>
      </w:r>
      <w:r w:rsidR="007F480F" w:rsidRPr="001B61DE">
        <w:rPr>
          <w:rFonts w:cs="Times New Roman"/>
          <w:bCs/>
          <w:szCs w:val="24"/>
        </w:rPr>
        <w:t>”</w:t>
      </w:r>
      <w:r w:rsidR="00EB5760" w:rsidRPr="001B61DE">
        <w:rPr>
          <w:rFonts w:cs="Times New Roman"/>
          <w:bCs/>
          <w:szCs w:val="24"/>
        </w:rPr>
        <w:t>]</w:t>
      </w:r>
      <w:r w:rsidR="00EB3865" w:rsidRPr="001B61DE">
        <w:rPr>
          <w:rFonts w:cs="Times New Roman"/>
          <w:bCs/>
          <w:szCs w:val="24"/>
        </w:rPr>
        <w:t>.</w:t>
      </w:r>
      <w:r w:rsidR="009C773E" w:rsidRPr="001B61DE">
        <w:rPr>
          <w:rFonts w:cs="Times New Roman"/>
          <w:bCs/>
          <w:szCs w:val="24"/>
        </w:rPr>
        <w:t>)</w:t>
      </w:r>
    </w:p>
    <w:p w14:paraId="469E31E3" w14:textId="3DECB27F" w:rsidR="008D0165" w:rsidRPr="001B61DE" w:rsidRDefault="008D0165" w:rsidP="00706F04">
      <w:pPr>
        <w:spacing w:line="240" w:lineRule="auto"/>
        <w:ind w:left="0"/>
        <w:rPr>
          <w:rFonts w:cs="Times New Roman"/>
          <w:bCs/>
          <w:szCs w:val="24"/>
        </w:rPr>
      </w:pPr>
    </w:p>
    <w:p w14:paraId="2FDD8C02" w14:textId="050276EC" w:rsidR="008A173D" w:rsidRPr="001B61DE" w:rsidRDefault="002E5980" w:rsidP="00706F04">
      <w:pPr>
        <w:spacing w:line="240" w:lineRule="auto"/>
        <w:ind w:right="720"/>
        <w:rPr>
          <w:rFonts w:cs="Times New Roman"/>
          <w:bCs/>
          <w:szCs w:val="24"/>
        </w:rPr>
      </w:pPr>
      <w:r w:rsidRPr="001B61DE">
        <w:rPr>
          <w:rFonts w:cs="Times New Roman"/>
          <w:bCs/>
          <w:szCs w:val="24"/>
        </w:rPr>
        <w:t>“</w:t>
      </w:r>
      <w:r w:rsidR="008A173D" w:rsidRPr="001B61DE">
        <w:rPr>
          <w:rFonts w:cs="Times New Roman"/>
          <w:bCs/>
          <w:szCs w:val="24"/>
        </w:rPr>
        <w:t xml:space="preserve">It is one thing to say that the Government cannot make an affirmative use of evidence unlawfully obtained. It is quite another to say that the defendant can turn the illegal method by which </w:t>
      </w:r>
      <w:r w:rsidR="008A173D" w:rsidRPr="001B61DE">
        <w:rPr>
          <w:rFonts w:cs="Times New Roman"/>
          <w:bCs/>
          <w:szCs w:val="24"/>
        </w:rPr>
        <w:lastRenderedPageBreak/>
        <w:t>evidence in the Government</w:t>
      </w:r>
      <w:r w:rsidR="00D17B70">
        <w:rPr>
          <w:rFonts w:cs="Times New Roman"/>
          <w:bCs/>
          <w:szCs w:val="24"/>
        </w:rPr>
        <w:t>’</w:t>
      </w:r>
      <w:r w:rsidR="008A173D" w:rsidRPr="001B61DE">
        <w:rPr>
          <w:rFonts w:cs="Times New Roman"/>
          <w:bCs/>
          <w:szCs w:val="24"/>
        </w:rPr>
        <w:t>s possession was obtained to his own advantage,</w:t>
      </w:r>
      <w:r w:rsidR="00EB3865" w:rsidRPr="001B61DE">
        <w:rPr>
          <w:rFonts w:cs="Times New Roman"/>
          <w:bCs/>
          <w:szCs w:val="24"/>
        </w:rPr>
        <w:t xml:space="preserve"> </w:t>
      </w:r>
      <w:r w:rsidR="008A173D" w:rsidRPr="001B61DE">
        <w:rPr>
          <w:rFonts w:cs="Times New Roman"/>
          <w:bCs/>
          <w:szCs w:val="24"/>
        </w:rPr>
        <w:t>and provide himself with a shield against contradiction of his untruths</w:t>
      </w:r>
      <w:r w:rsidRPr="001B61DE">
        <w:rPr>
          <w:rFonts w:cs="Times New Roman"/>
          <w:bCs/>
          <w:szCs w:val="24"/>
        </w:rPr>
        <w:t>”</w:t>
      </w:r>
      <w:r w:rsidR="009C773E" w:rsidRPr="001B61DE">
        <w:rPr>
          <w:rFonts w:cs="Times New Roman"/>
          <w:bCs/>
          <w:szCs w:val="24"/>
        </w:rPr>
        <w:t xml:space="preserve"> (</w:t>
      </w:r>
      <w:r w:rsidR="008A173D" w:rsidRPr="001B61DE">
        <w:rPr>
          <w:rFonts w:cs="Times New Roman"/>
          <w:bCs/>
          <w:i/>
          <w:iCs/>
          <w:szCs w:val="24"/>
        </w:rPr>
        <w:t>Walder</w:t>
      </w:r>
      <w:r w:rsidRPr="001B61DE">
        <w:rPr>
          <w:rFonts w:cs="Times New Roman"/>
          <w:bCs/>
          <w:i/>
          <w:iCs/>
          <w:szCs w:val="24"/>
        </w:rPr>
        <w:t xml:space="preserve"> </w:t>
      </w:r>
      <w:r w:rsidRPr="001B61DE">
        <w:rPr>
          <w:rFonts w:cs="Times New Roman"/>
          <w:bCs/>
          <w:iCs/>
          <w:szCs w:val="24"/>
        </w:rPr>
        <w:t>at</w:t>
      </w:r>
      <w:r w:rsidR="008A173D" w:rsidRPr="001B61DE">
        <w:rPr>
          <w:rFonts w:cs="Times New Roman"/>
          <w:bCs/>
          <w:szCs w:val="24"/>
        </w:rPr>
        <w:t xml:space="preserve"> 65</w:t>
      </w:r>
      <w:r w:rsidR="009C773E" w:rsidRPr="001B61DE">
        <w:rPr>
          <w:rFonts w:cs="Times New Roman"/>
          <w:bCs/>
          <w:szCs w:val="24"/>
        </w:rPr>
        <w:t>)</w:t>
      </w:r>
      <w:r w:rsidR="005B6EFF" w:rsidRPr="001B61DE">
        <w:rPr>
          <w:rFonts w:cs="Times New Roman"/>
          <w:bCs/>
          <w:szCs w:val="24"/>
        </w:rPr>
        <w:t>.</w:t>
      </w:r>
    </w:p>
    <w:p w14:paraId="4D165CB0" w14:textId="6DEEBC54" w:rsidR="008A173D" w:rsidRPr="001B61DE" w:rsidRDefault="008A173D" w:rsidP="00706F04">
      <w:pPr>
        <w:spacing w:line="240" w:lineRule="auto"/>
        <w:ind w:left="0"/>
        <w:rPr>
          <w:rFonts w:cs="Times New Roman"/>
          <w:bCs/>
          <w:szCs w:val="24"/>
        </w:rPr>
      </w:pPr>
    </w:p>
    <w:p w14:paraId="6D9C4993" w14:textId="73CE0028" w:rsidR="00E519FB" w:rsidRPr="001B61DE" w:rsidRDefault="00706F04" w:rsidP="00706F04">
      <w:pPr>
        <w:tabs>
          <w:tab w:val="left" w:pos="720"/>
        </w:tabs>
        <w:spacing w:line="240" w:lineRule="auto"/>
        <w:ind w:left="0"/>
        <w:rPr>
          <w:rFonts w:cs="Times New Roman"/>
          <w:bCs/>
          <w:szCs w:val="24"/>
        </w:rPr>
      </w:pPr>
      <w:r w:rsidRPr="001B61DE">
        <w:rPr>
          <w:rFonts w:cs="Times New Roman"/>
          <w:bCs/>
          <w:szCs w:val="24"/>
        </w:rPr>
        <w:tab/>
      </w:r>
      <w:r w:rsidR="00003DE7" w:rsidRPr="001B61DE">
        <w:rPr>
          <w:rFonts w:cs="Times New Roman"/>
          <w:bCs/>
          <w:szCs w:val="24"/>
        </w:rPr>
        <w:t xml:space="preserve">The </w:t>
      </w:r>
      <w:r w:rsidR="004A1C9A" w:rsidRPr="001B61DE">
        <w:rPr>
          <w:rFonts w:cs="Times New Roman"/>
          <w:bCs/>
          <w:szCs w:val="24"/>
        </w:rPr>
        <w:t xml:space="preserve">Court of Appeals has relied on the </w:t>
      </w:r>
      <w:r w:rsidR="00803E8F" w:rsidRPr="001B61DE">
        <w:rPr>
          <w:rFonts w:cs="Times New Roman"/>
          <w:bCs/>
          <w:szCs w:val="24"/>
        </w:rPr>
        <w:t>Supreme Court</w:t>
      </w:r>
      <w:r w:rsidR="000E1B03" w:rsidRPr="001B61DE">
        <w:rPr>
          <w:rFonts w:cs="Times New Roman"/>
          <w:bCs/>
          <w:szCs w:val="24"/>
        </w:rPr>
        <w:t xml:space="preserve"> holdings</w:t>
      </w:r>
      <w:r w:rsidR="00003DE7" w:rsidRPr="001B61DE">
        <w:rPr>
          <w:rFonts w:cs="Times New Roman"/>
          <w:b/>
          <w:szCs w:val="24"/>
        </w:rPr>
        <w:t xml:space="preserve"> </w:t>
      </w:r>
      <w:r w:rsidR="00AA5B23" w:rsidRPr="001B61DE">
        <w:rPr>
          <w:rFonts w:cs="Times New Roman"/>
          <w:bCs/>
          <w:szCs w:val="24"/>
        </w:rPr>
        <w:t xml:space="preserve">in its </w:t>
      </w:r>
      <w:r w:rsidR="00803E8F" w:rsidRPr="001B61DE">
        <w:rPr>
          <w:rFonts w:cs="Times New Roman"/>
          <w:bCs/>
          <w:szCs w:val="24"/>
        </w:rPr>
        <w:t xml:space="preserve">decisions permitting impeachment of a defendant by a voluntary statement taken in violation of the defendant’s </w:t>
      </w:r>
      <w:r w:rsidR="00E4236F" w:rsidRPr="001B61DE">
        <w:rPr>
          <w:rFonts w:cs="Times New Roman"/>
          <w:bCs/>
          <w:szCs w:val="24"/>
        </w:rPr>
        <w:t>pre-interrogation</w:t>
      </w:r>
      <w:r w:rsidR="00803E8F" w:rsidRPr="001B61DE">
        <w:rPr>
          <w:rFonts w:cs="Times New Roman"/>
          <w:bCs/>
          <w:szCs w:val="24"/>
        </w:rPr>
        <w:t xml:space="preserve"> warnings or right to counsel</w:t>
      </w:r>
      <w:r w:rsidR="00DD7D71" w:rsidRPr="001B61DE">
        <w:rPr>
          <w:rFonts w:cs="Times New Roman"/>
          <w:bCs/>
          <w:i/>
          <w:iCs/>
          <w:szCs w:val="24"/>
        </w:rPr>
        <w:t xml:space="preserve"> </w:t>
      </w:r>
      <w:r w:rsidR="004B59F9" w:rsidRPr="001B61DE">
        <w:rPr>
          <w:rFonts w:cs="Times New Roman"/>
          <w:bCs/>
          <w:iCs/>
          <w:szCs w:val="24"/>
        </w:rPr>
        <w:t>(</w:t>
      </w:r>
      <w:r w:rsidR="00BD3005" w:rsidRPr="001B61DE">
        <w:rPr>
          <w:rFonts w:cs="Times New Roman"/>
          <w:bCs/>
          <w:i/>
          <w:iCs/>
          <w:szCs w:val="24"/>
        </w:rPr>
        <w:t>Kulis</w:t>
      </w:r>
      <w:r w:rsidR="00BD3005" w:rsidRPr="001B61DE">
        <w:rPr>
          <w:rFonts w:cs="Times New Roman"/>
          <w:bCs/>
          <w:szCs w:val="24"/>
        </w:rPr>
        <w:t>, 18 NY2d</w:t>
      </w:r>
      <w:r w:rsidR="00A9622D" w:rsidRPr="001B61DE">
        <w:rPr>
          <w:rFonts w:cs="Times New Roman"/>
          <w:bCs/>
          <w:szCs w:val="24"/>
        </w:rPr>
        <w:t xml:space="preserve"> at</w:t>
      </w:r>
      <w:r w:rsidR="00BD3005" w:rsidRPr="001B61DE">
        <w:rPr>
          <w:rFonts w:cs="Times New Roman"/>
          <w:bCs/>
          <w:szCs w:val="24"/>
        </w:rPr>
        <w:t xml:space="preserve"> 322-</w:t>
      </w:r>
      <w:r w:rsidR="009C773E" w:rsidRPr="001B61DE">
        <w:rPr>
          <w:rFonts w:cs="Times New Roman"/>
          <w:bCs/>
          <w:szCs w:val="24"/>
        </w:rPr>
        <w:t>3</w:t>
      </w:r>
      <w:r w:rsidR="00BD3005" w:rsidRPr="001B61DE">
        <w:rPr>
          <w:rFonts w:cs="Times New Roman"/>
          <w:bCs/>
          <w:szCs w:val="24"/>
        </w:rPr>
        <w:t xml:space="preserve">23; </w:t>
      </w:r>
      <w:r w:rsidR="00541872" w:rsidRPr="001B61DE">
        <w:rPr>
          <w:rFonts w:eastAsia="Times New Roman" w:cs="Times New Roman"/>
          <w:i/>
          <w:iCs/>
          <w:szCs w:val="24"/>
        </w:rPr>
        <w:t>Johnson</w:t>
      </w:r>
      <w:r w:rsidR="00541872" w:rsidRPr="001B61DE">
        <w:rPr>
          <w:rFonts w:eastAsia="Times New Roman" w:cs="Times New Roman"/>
          <w:szCs w:val="24"/>
        </w:rPr>
        <w:t xml:space="preserve">, 27 NY2d </w:t>
      </w:r>
      <w:r w:rsidR="008E37BC" w:rsidRPr="001B61DE">
        <w:rPr>
          <w:rFonts w:eastAsia="Times New Roman" w:cs="Times New Roman"/>
          <w:szCs w:val="24"/>
        </w:rPr>
        <w:t>at</w:t>
      </w:r>
      <w:r w:rsidR="00541872" w:rsidRPr="001B61DE">
        <w:rPr>
          <w:rFonts w:eastAsia="Times New Roman" w:cs="Times New Roman"/>
          <w:szCs w:val="24"/>
        </w:rPr>
        <w:t xml:space="preserve"> 121-</w:t>
      </w:r>
      <w:r w:rsidR="009C773E" w:rsidRPr="001B61DE">
        <w:rPr>
          <w:rFonts w:eastAsia="Times New Roman" w:cs="Times New Roman"/>
          <w:szCs w:val="24"/>
        </w:rPr>
        <w:t>1</w:t>
      </w:r>
      <w:r w:rsidR="00541872" w:rsidRPr="001B61DE">
        <w:rPr>
          <w:rFonts w:eastAsia="Times New Roman" w:cs="Times New Roman"/>
          <w:szCs w:val="24"/>
        </w:rPr>
        <w:t>22;</w:t>
      </w:r>
      <w:r w:rsidR="006121D0" w:rsidRPr="001B61DE">
        <w:rPr>
          <w:rFonts w:eastAsia="Times New Roman" w:cs="Times New Roman"/>
          <w:szCs w:val="24"/>
        </w:rPr>
        <w:t xml:space="preserve"> </w:t>
      </w:r>
      <w:r w:rsidR="00710DC4" w:rsidRPr="001B61DE">
        <w:rPr>
          <w:rFonts w:cs="Times New Roman"/>
          <w:bCs/>
          <w:i/>
          <w:iCs/>
          <w:szCs w:val="24"/>
        </w:rPr>
        <w:t>Maerling</w:t>
      </w:r>
      <w:r w:rsidR="00710DC4" w:rsidRPr="001B61DE">
        <w:rPr>
          <w:rFonts w:cs="Times New Roman"/>
          <w:bCs/>
          <w:szCs w:val="24"/>
        </w:rPr>
        <w:t xml:space="preserve">, 64 NY2d </w:t>
      </w:r>
      <w:r w:rsidR="008E37BC" w:rsidRPr="001B61DE">
        <w:rPr>
          <w:rFonts w:cs="Times New Roman"/>
          <w:bCs/>
          <w:szCs w:val="24"/>
        </w:rPr>
        <w:t>at</w:t>
      </w:r>
      <w:r w:rsidR="00074A61" w:rsidRPr="001B61DE">
        <w:rPr>
          <w:rFonts w:cs="Times New Roman"/>
          <w:bCs/>
          <w:szCs w:val="24"/>
        </w:rPr>
        <w:t xml:space="preserve"> </w:t>
      </w:r>
      <w:r w:rsidR="00710DC4" w:rsidRPr="001B61DE">
        <w:rPr>
          <w:rFonts w:cs="Times New Roman"/>
          <w:bCs/>
          <w:szCs w:val="24"/>
        </w:rPr>
        <w:t>140-</w:t>
      </w:r>
      <w:r w:rsidR="009C773E" w:rsidRPr="001B61DE">
        <w:rPr>
          <w:rFonts w:cs="Times New Roman"/>
          <w:bCs/>
          <w:szCs w:val="24"/>
        </w:rPr>
        <w:t>1</w:t>
      </w:r>
      <w:r w:rsidR="00710DC4" w:rsidRPr="001B61DE">
        <w:rPr>
          <w:rFonts w:cs="Times New Roman"/>
          <w:bCs/>
          <w:szCs w:val="24"/>
        </w:rPr>
        <w:t>41</w:t>
      </w:r>
      <w:r w:rsidR="004B59F9" w:rsidRPr="001B61DE">
        <w:rPr>
          <w:rFonts w:cs="Times New Roman"/>
          <w:bCs/>
          <w:szCs w:val="24"/>
        </w:rPr>
        <w:t>)</w:t>
      </w:r>
      <w:r w:rsidR="00DD7D71" w:rsidRPr="001B61DE">
        <w:rPr>
          <w:rFonts w:cs="Times New Roman"/>
          <w:bCs/>
          <w:szCs w:val="24"/>
        </w:rPr>
        <w:t>.</w:t>
      </w:r>
      <w:r w:rsidR="00BF32D9">
        <w:rPr>
          <w:rFonts w:cs="Times New Roman"/>
          <w:bCs/>
          <w:szCs w:val="24"/>
        </w:rPr>
        <w:t xml:space="preserve"> </w:t>
      </w:r>
      <w:r w:rsidR="00134494" w:rsidRPr="001B61DE">
        <w:rPr>
          <w:rFonts w:cs="Times New Roman"/>
          <w:bCs/>
          <w:szCs w:val="24"/>
        </w:rPr>
        <w:t>T</w:t>
      </w:r>
      <w:r w:rsidR="009961AC" w:rsidRPr="001B61DE">
        <w:rPr>
          <w:rFonts w:cs="Times New Roman"/>
          <w:bCs/>
          <w:szCs w:val="24"/>
        </w:rPr>
        <w:t xml:space="preserve">he Appellate Division has applied the holding in </w:t>
      </w:r>
      <w:r w:rsidR="009961AC" w:rsidRPr="001B61DE">
        <w:rPr>
          <w:rFonts w:cs="Times New Roman"/>
          <w:bCs/>
          <w:i/>
          <w:iCs/>
          <w:szCs w:val="24"/>
        </w:rPr>
        <w:t>Havens</w:t>
      </w:r>
      <w:r w:rsidR="001D2FC3" w:rsidRPr="001B61DE">
        <w:rPr>
          <w:rFonts w:cs="Times New Roman"/>
          <w:bCs/>
          <w:szCs w:val="24"/>
        </w:rPr>
        <w:t xml:space="preserve"> to the facts of individual cases</w:t>
      </w:r>
      <w:r w:rsidR="00D62232" w:rsidRPr="001B61DE">
        <w:rPr>
          <w:rFonts w:cs="Times New Roman"/>
          <w:bCs/>
          <w:szCs w:val="24"/>
        </w:rPr>
        <w:t xml:space="preserve"> </w:t>
      </w:r>
      <w:r w:rsidR="004B59F9" w:rsidRPr="001B61DE">
        <w:rPr>
          <w:rFonts w:cs="Times New Roman"/>
          <w:bCs/>
          <w:szCs w:val="24"/>
        </w:rPr>
        <w:t>(</w:t>
      </w:r>
      <w:r w:rsidR="00FF0704" w:rsidRPr="001B61DE">
        <w:rPr>
          <w:rFonts w:cs="Times New Roman"/>
          <w:bCs/>
          <w:i/>
          <w:iCs/>
          <w:szCs w:val="24"/>
        </w:rPr>
        <w:t>People v LaFontant</w:t>
      </w:r>
      <w:r w:rsidR="00FF0704" w:rsidRPr="001B61DE">
        <w:rPr>
          <w:rFonts w:cs="Times New Roman"/>
          <w:bCs/>
          <w:szCs w:val="24"/>
        </w:rPr>
        <w:t>,</w:t>
      </w:r>
      <w:r w:rsidR="00FF0704" w:rsidRPr="001B61DE">
        <w:rPr>
          <w:rFonts w:cs="Times New Roman"/>
          <w:bCs/>
          <w:i/>
          <w:szCs w:val="24"/>
        </w:rPr>
        <w:t xml:space="preserve"> </w:t>
      </w:r>
      <w:r w:rsidR="00FF0704" w:rsidRPr="001B61DE">
        <w:rPr>
          <w:rFonts w:cs="Times New Roman"/>
          <w:bCs/>
          <w:szCs w:val="24"/>
        </w:rPr>
        <w:t>46 AD3d 840, 841-</w:t>
      </w:r>
      <w:r w:rsidR="009C773E" w:rsidRPr="001B61DE">
        <w:rPr>
          <w:rFonts w:cs="Times New Roman"/>
          <w:bCs/>
          <w:szCs w:val="24"/>
        </w:rPr>
        <w:t>8</w:t>
      </w:r>
      <w:r w:rsidR="00FF0704" w:rsidRPr="001B61DE">
        <w:rPr>
          <w:rFonts w:cs="Times New Roman"/>
          <w:bCs/>
          <w:szCs w:val="24"/>
        </w:rPr>
        <w:t>42 [2d Dept 2007]</w:t>
      </w:r>
      <w:r w:rsidR="003E3BA9" w:rsidRPr="001B61DE">
        <w:rPr>
          <w:rFonts w:cs="Times New Roman"/>
          <w:bCs/>
          <w:szCs w:val="24"/>
        </w:rPr>
        <w:t xml:space="preserve"> </w:t>
      </w:r>
      <w:r w:rsidR="0037381C" w:rsidRPr="001B61DE">
        <w:rPr>
          <w:rFonts w:cs="Times New Roman"/>
          <w:bCs/>
          <w:szCs w:val="24"/>
        </w:rPr>
        <w:t>[</w:t>
      </w:r>
      <w:r w:rsidR="00665C1B" w:rsidRPr="001B61DE">
        <w:rPr>
          <w:rFonts w:cs="Times New Roman"/>
          <w:bCs/>
          <w:szCs w:val="24"/>
        </w:rPr>
        <w:t xml:space="preserve">when the defendant testified that he had not possessed a gun prior to the day of the incident, </w:t>
      </w:r>
      <w:r w:rsidR="00A30E56" w:rsidRPr="001B61DE">
        <w:rPr>
          <w:rFonts w:cs="Times New Roman"/>
          <w:bCs/>
          <w:szCs w:val="24"/>
        </w:rPr>
        <w:t xml:space="preserve">a photograph of the defendant holding a gun </w:t>
      </w:r>
      <w:r w:rsidR="00CC59DF" w:rsidRPr="001B61DE">
        <w:rPr>
          <w:rFonts w:cs="Times New Roman"/>
          <w:bCs/>
          <w:szCs w:val="24"/>
        </w:rPr>
        <w:t xml:space="preserve">that was the product of an illegal search of his cell phone was properly admitted </w:t>
      </w:r>
      <w:r w:rsidR="003E3BA9" w:rsidRPr="001B61DE">
        <w:rPr>
          <w:rFonts w:cs="Times New Roman"/>
          <w:bCs/>
          <w:szCs w:val="24"/>
        </w:rPr>
        <w:t>as impeachment evidence</w:t>
      </w:r>
      <w:r w:rsidR="00CC59DF" w:rsidRPr="001B61DE">
        <w:rPr>
          <w:rFonts w:cs="Times New Roman"/>
          <w:bCs/>
          <w:szCs w:val="24"/>
        </w:rPr>
        <w:t xml:space="preserve">]; </w:t>
      </w:r>
      <w:r w:rsidR="00336A06" w:rsidRPr="001B61DE">
        <w:rPr>
          <w:rFonts w:cs="Times New Roman"/>
          <w:bCs/>
          <w:i/>
          <w:iCs/>
          <w:szCs w:val="24"/>
        </w:rPr>
        <w:t>People v Donnelly</w:t>
      </w:r>
      <w:r w:rsidR="00336A06" w:rsidRPr="001B61DE">
        <w:rPr>
          <w:rFonts w:cs="Times New Roman"/>
          <w:bCs/>
          <w:szCs w:val="24"/>
        </w:rPr>
        <w:t>, 103 AD2d 941, 941-</w:t>
      </w:r>
      <w:r w:rsidR="009C773E" w:rsidRPr="001B61DE">
        <w:rPr>
          <w:rFonts w:cs="Times New Roman"/>
          <w:bCs/>
          <w:szCs w:val="24"/>
        </w:rPr>
        <w:t>9</w:t>
      </w:r>
      <w:r w:rsidR="00336A06" w:rsidRPr="001B61DE">
        <w:rPr>
          <w:rFonts w:cs="Times New Roman"/>
          <w:bCs/>
          <w:szCs w:val="24"/>
        </w:rPr>
        <w:t>42 [3d Dept 1984]</w:t>
      </w:r>
      <w:r w:rsidR="00B11202" w:rsidRPr="001B61DE">
        <w:rPr>
          <w:rFonts w:cs="Times New Roman"/>
          <w:bCs/>
          <w:szCs w:val="24"/>
        </w:rPr>
        <w:t xml:space="preserve"> [when the defendant testified </w:t>
      </w:r>
      <w:r w:rsidR="00746F3A" w:rsidRPr="001B61DE">
        <w:rPr>
          <w:rFonts w:cs="Times New Roman"/>
          <w:bCs/>
          <w:szCs w:val="24"/>
        </w:rPr>
        <w:t>concerning his consumption of alcohol prior to the accident, the results of a blood alcohol test that had been suppressed was properly admitted</w:t>
      </w:r>
      <w:r w:rsidR="005543CE" w:rsidRPr="001B61DE">
        <w:rPr>
          <w:rFonts w:cs="Times New Roman"/>
          <w:bCs/>
          <w:szCs w:val="24"/>
        </w:rPr>
        <w:t>]</w:t>
      </w:r>
      <w:r w:rsidR="009C773E" w:rsidRPr="001B61DE">
        <w:rPr>
          <w:rFonts w:cs="Times New Roman"/>
          <w:bCs/>
          <w:szCs w:val="24"/>
        </w:rPr>
        <w:t>;</w:t>
      </w:r>
      <w:r w:rsidR="005543CE" w:rsidRPr="001B61DE">
        <w:rPr>
          <w:rFonts w:cs="Times New Roman"/>
          <w:bCs/>
          <w:szCs w:val="24"/>
        </w:rPr>
        <w:t xml:space="preserve"> </w:t>
      </w:r>
      <w:r w:rsidR="009C773E" w:rsidRPr="001B61DE">
        <w:rPr>
          <w:rFonts w:cs="Times New Roman"/>
          <w:bCs/>
          <w:i/>
          <w:szCs w:val="24"/>
        </w:rPr>
        <w:t>s</w:t>
      </w:r>
      <w:r w:rsidR="005543CE" w:rsidRPr="001B61DE">
        <w:rPr>
          <w:rFonts w:cs="Times New Roman"/>
          <w:bCs/>
          <w:i/>
          <w:iCs/>
          <w:szCs w:val="24"/>
        </w:rPr>
        <w:t>ee People v Dash</w:t>
      </w:r>
      <w:r w:rsidR="005543CE" w:rsidRPr="001B61DE">
        <w:rPr>
          <w:rFonts w:cs="Times New Roman"/>
          <w:bCs/>
          <w:szCs w:val="24"/>
        </w:rPr>
        <w:t>, 126 AD2d 737</w:t>
      </w:r>
      <w:r w:rsidR="00F51DD1" w:rsidRPr="001B61DE">
        <w:rPr>
          <w:rFonts w:cs="Times New Roman"/>
          <w:bCs/>
          <w:szCs w:val="24"/>
        </w:rPr>
        <w:t>, 737</w:t>
      </w:r>
      <w:r w:rsidR="005543CE" w:rsidRPr="001B61DE">
        <w:rPr>
          <w:rFonts w:cs="Times New Roman"/>
          <w:bCs/>
          <w:szCs w:val="24"/>
        </w:rPr>
        <w:t xml:space="preserve"> [2d Dept 1987] [“While illegally obtained physical evidence is inadmissible as substantive proof in the People</w:t>
      </w:r>
      <w:r w:rsidR="00D17B70">
        <w:rPr>
          <w:rFonts w:cs="Times New Roman"/>
          <w:bCs/>
          <w:szCs w:val="24"/>
        </w:rPr>
        <w:t>’</w:t>
      </w:r>
      <w:r w:rsidR="005543CE" w:rsidRPr="001B61DE">
        <w:rPr>
          <w:rFonts w:cs="Times New Roman"/>
          <w:bCs/>
          <w:szCs w:val="24"/>
        </w:rPr>
        <w:t>s case</w:t>
      </w:r>
      <w:r w:rsidR="009C773E" w:rsidRPr="001B61DE">
        <w:rPr>
          <w:rFonts w:cs="Times New Roman"/>
          <w:bCs/>
          <w:szCs w:val="24"/>
        </w:rPr>
        <w:t>-</w:t>
      </w:r>
      <w:r w:rsidR="005543CE" w:rsidRPr="001B61DE">
        <w:rPr>
          <w:rFonts w:cs="Times New Roman"/>
          <w:bCs/>
          <w:szCs w:val="24"/>
        </w:rPr>
        <w:t>in</w:t>
      </w:r>
      <w:r w:rsidR="009C773E" w:rsidRPr="001B61DE">
        <w:rPr>
          <w:rFonts w:cs="Times New Roman"/>
          <w:bCs/>
          <w:szCs w:val="24"/>
        </w:rPr>
        <w:t>-</w:t>
      </w:r>
      <w:r w:rsidR="005543CE" w:rsidRPr="001B61DE">
        <w:rPr>
          <w:rFonts w:cs="Times New Roman"/>
          <w:bCs/>
          <w:szCs w:val="24"/>
        </w:rPr>
        <w:t>chief, it may be used for purposes of impeaching a defendant who testifies in his own behalf</w:t>
      </w:r>
      <w:r w:rsidR="006D3AC9" w:rsidRPr="001B61DE">
        <w:rPr>
          <w:rFonts w:cs="Times New Roman"/>
          <w:bCs/>
          <w:szCs w:val="24"/>
        </w:rPr>
        <w:t>”]</w:t>
      </w:r>
      <w:r w:rsidR="004B59F9" w:rsidRPr="001B61DE">
        <w:rPr>
          <w:rFonts w:cs="Times New Roman"/>
          <w:bCs/>
          <w:szCs w:val="24"/>
        </w:rPr>
        <w:t>)</w:t>
      </w:r>
      <w:r w:rsidR="006D3AC9" w:rsidRPr="001B61DE">
        <w:rPr>
          <w:rFonts w:cs="Times New Roman"/>
          <w:bCs/>
          <w:szCs w:val="24"/>
        </w:rPr>
        <w:t>.</w:t>
      </w:r>
    </w:p>
    <w:p w14:paraId="58019E54" w14:textId="6DA32B66" w:rsidR="00E519FB" w:rsidRPr="001B61DE" w:rsidRDefault="00E519FB" w:rsidP="00706F04">
      <w:pPr>
        <w:spacing w:line="240" w:lineRule="auto"/>
        <w:ind w:left="0"/>
        <w:rPr>
          <w:rFonts w:cs="Times New Roman"/>
          <w:bCs/>
          <w:szCs w:val="24"/>
        </w:rPr>
      </w:pPr>
    </w:p>
    <w:p w14:paraId="2D709704" w14:textId="64CED31E" w:rsidR="004F639E" w:rsidRPr="001B61DE" w:rsidRDefault="00706F04" w:rsidP="00706F04">
      <w:pPr>
        <w:tabs>
          <w:tab w:val="left" w:pos="720"/>
        </w:tabs>
        <w:spacing w:line="240" w:lineRule="auto"/>
        <w:ind w:left="0"/>
        <w:rPr>
          <w:rFonts w:cs="Times New Roman"/>
          <w:bCs/>
          <w:szCs w:val="24"/>
        </w:rPr>
      </w:pPr>
      <w:r w:rsidRPr="001B61DE">
        <w:rPr>
          <w:rFonts w:cs="Times New Roman"/>
          <w:bCs/>
          <w:szCs w:val="24"/>
        </w:rPr>
        <w:tab/>
      </w:r>
      <w:r w:rsidR="00C63FD0" w:rsidRPr="002768BD">
        <w:rPr>
          <w:rFonts w:cs="Times New Roman"/>
          <w:b/>
          <w:szCs w:val="24"/>
        </w:rPr>
        <w:t>Method of Impeachment.</w:t>
      </w:r>
      <w:r w:rsidR="00C63FD0" w:rsidRPr="001B61DE">
        <w:rPr>
          <w:rFonts w:cs="Times New Roman"/>
          <w:bCs/>
          <w:szCs w:val="24"/>
        </w:rPr>
        <w:t xml:space="preserve"> </w:t>
      </w:r>
      <w:r w:rsidR="00AB2787" w:rsidRPr="001B61DE">
        <w:rPr>
          <w:rFonts w:cs="Times New Roman"/>
          <w:bCs/>
          <w:szCs w:val="24"/>
        </w:rPr>
        <w:t xml:space="preserve"> </w:t>
      </w:r>
      <w:r w:rsidR="00A350AC" w:rsidRPr="001B61DE">
        <w:rPr>
          <w:rFonts w:cs="Times New Roman"/>
          <w:bCs/>
          <w:szCs w:val="24"/>
        </w:rPr>
        <w:t>The traditional requirements for proving an inconsistent statement of a defendant are to raise the statement and circumstances of its making with the defendant on cross-examination and</w:t>
      </w:r>
      <w:r w:rsidR="00045BD4" w:rsidRPr="001B61DE">
        <w:rPr>
          <w:rFonts w:cs="Times New Roman"/>
          <w:bCs/>
          <w:szCs w:val="24"/>
        </w:rPr>
        <w:t>,</w:t>
      </w:r>
      <w:r w:rsidR="00A350AC" w:rsidRPr="001B61DE">
        <w:rPr>
          <w:rFonts w:cs="Times New Roman"/>
          <w:bCs/>
          <w:szCs w:val="24"/>
        </w:rPr>
        <w:t xml:space="preserve"> if the </w:t>
      </w:r>
      <w:r w:rsidR="00AB2787" w:rsidRPr="001B61DE">
        <w:rPr>
          <w:rFonts w:cs="Times New Roman"/>
          <w:bCs/>
          <w:szCs w:val="24"/>
        </w:rPr>
        <w:t xml:space="preserve">defendant denies making the </w:t>
      </w:r>
      <w:r w:rsidR="00A350AC" w:rsidRPr="001B61DE">
        <w:rPr>
          <w:rFonts w:cs="Times New Roman"/>
          <w:bCs/>
          <w:szCs w:val="24"/>
        </w:rPr>
        <w:t>statem</w:t>
      </w:r>
      <w:r w:rsidR="00563829" w:rsidRPr="001B61DE">
        <w:rPr>
          <w:rFonts w:cs="Times New Roman"/>
          <w:bCs/>
          <w:szCs w:val="24"/>
        </w:rPr>
        <w:t>ent</w:t>
      </w:r>
      <w:r w:rsidR="00A350AC" w:rsidRPr="001B61DE">
        <w:rPr>
          <w:rFonts w:cs="Times New Roman"/>
          <w:bCs/>
          <w:szCs w:val="24"/>
        </w:rPr>
        <w:t>, to introduce it through rebuttal evidence</w:t>
      </w:r>
      <w:r w:rsidR="009C773E" w:rsidRPr="001B61DE">
        <w:rPr>
          <w:rFonts w:cs="Times New Roman"/>
          <w:bCs/>
          <w:szCs w:val="24"/>
        </w:rPr>
        <w:t xml:space="preserve"> (</w:t>
      </w:r>
      <w:r w:rsidR="004F639E" w:rsidRPr="001B61DE">
        <w:rPr>
          <w:rFonts w:cs="Times New Roman"/>
          <w:bCs/>
          <w:szCs w:val="24"/>
        </w:rPr>
        <w:t>Guide to NY Evid r</w:t>
      </w:r>
      <w:r w:rsidR="00A350AC" w:rsidRPr="001B61DE">
        <w:rPr>
          <w:rFonts w:cs="Times New Roman"/>
          <w:bCs/>
          <w:szCs w:val="24"/>
        </w:rPr>
        <w:t>ule 6:15</w:t>
      </w:r>
      <w:r w:rsidR="00B141E9">
        <w:rPr>
          <w:rFonts w:cs="Times New Roman"/>
          <w:bCs/>
          <w:szCs w:val="24"/>
        </w:rPr>
        <w:t xml:space="preserve">, </w:t>
      </w:r>
      <w:r w:rsidR="004F639E" w:rsidRPr="001B61DE">
        <w:rPr>
          <w:rFonts w:cs="Times New Roman"/>
          <w:bCs/>
          <w:szCs w:val="24"/>
        </w:rPr>
        <w:t xml:space="preserve">Impeachment by </w:t>
      </w:r>
      <w:r w:rsidR="0014257A" w:rsidRPr="001B61DE">
        <w:rPr>
          <w:rFonts w:cs="Times New Roman"/>
          <w:bCs/>
          <w:szCs w:val="24"/>
        </w:rPr>
        <w:t xml:space="preserve">Prior </w:t>
      </w:r>
      <w:r w:rsidR="004F639E" w:rsidRPr="001B61DE">
        <w:rPr>
          <w:rFonts w:cs="Times New Roman"/>
          <w:bCs/>
          <w:szCs w:val="24"/>
        </w:rPr>
        <w:t>Inconsistent Statement)</w:t>
      </w:r>
      <w:r w:rsidR="009C773E" w:rsidRPr="001B61DE">
        <w:rPr>
          <w:rFonts w:cs="Times New Roman"/>
          <w:bCs/>
          <w:szCs w:val="24"/>
        </w:rPr>
        <w:t>.</w:t>
      </w:r>
      <w:r w:rsidR="004F639E" w:rsidRPr="001B61DE">
        <w:rPr>
          <w:rFonts w:cs="Times New Roman"/>
          <w:bCs/>
          <w:szCs w:val="24"/>
        </w:rPr>
        <w:t xml:space="preserve"> </w:t>
      </w:r>
    </w:p>
    <w:p w14:paraId="6EB4BA60" w14:textId="77777777" w:rsidR="0006141F" w:rsidRPr="001B61DE" w:rsidRDefault="0006141F" w:rsidP="00706F04">
      <w:pPr>
        <w:spacing w:line="240" w:lineRule="auto"/>
        <w:ind w:left="0"/>
        <w:rPr>
          <w:rFonts w:cs="Times New Roman"/>
          <w:bCs/>
          <w:szCs w:val="24"/>
        </w:rPr>
      </w:pPr>
    </w:p>
    <w:p w14:paraId="25B457EC" w14:textId="0BA83E14" w:rsidR="00A350AC" w:rsidRPr="001B61DE" w:rsidRDefault="00706F04" w:rsidP="00706F04">
      <w:pPr>
        <w:tabs>
          <w:tab w:val="left" w:pos="720"/>
        </w:tabs>
        <w:spacing w:line="240" w:lineRule="auto"/>
        <w:ind w:left="0"/>
        <w:rPr>
          <w:rFonts w:cs="Times New Roman"/>
          <w:bCs/>
          <w:szCs w:val="24"/>
        </w:rPr>
      </w:pPr>
      <w:r w:rsidRPr="001B61DE">
        <w:rPr>
          <w:rFonts w:cs="Times New Roman"/>
          <w:bCs/>
          <w:szCs w:val="24"/>
        </w:rPr>
        <w:tab/>
      </w:r>
      <w:r w:rsidR="000A7E70" w:rsidRPr="001B61DE">
        <w:rPr>
          <w:rFonts w:cs="Times New Roman"/>
          <w:bCs/>
          <w:szCs w:val="24"/>
        </w:rPr>
        <w:t xml:space="preserve">More than a century ago, however, </w:t>
      </w:r>
      <w:r w:rsidR="0098341A" w:rsidRPr="001B61DE">
        <w:rPr>
          <w:rFonts w:cs="Times New Roman"/>
          <w:bCs/>
          <w:szCs w:val="24"/>
        </w:rPr>
        <w:t>in</w:t>
      </w:r>
      <w:r w:rsidR="0006141F" w:rsidRPr="001B61DE">
        <w:rPr>
          <w:rFonts w:cs="Times New Roman"/>
          <w:bCs/>
          <w:szCs w:val="24"/>
        </w:rPr>
        <w:t xml:space="preserve"> </w:t>
      </w:r>
      <w:r w:rsidR="00A350AC" w:rsidRPr="001B61DE">
        <w:rPr>
          <w:rFonts w:cs="Times New Roman"/>
          <w:bCs/>
          <w:i/>
          <w:iCs/>
          <w:szCs w:val="24"/>
        </w:rPr>
        <w:t>Blossom v Barrett</w:t>
      </w:r>
      <w:r w:rsidR="00A350AC" w:rsidRPr="001B61DE">
        <w:rPr>
          <w:rFonts w:cs="Times New Roman"/>
          <w:bCs/>
          <w:szCs w:val="24"/>
        </w:rPr>
        <w:t xml:space="preserve"> </w:t>
      </w:r>
      <w:r w:rsidR="009C773E" w:rsidRPr="001B61DE">
        <w:rPr>
          <w:rFonts w:cs="Times New Roman"/>
          <w:bCs/>
          <w:szCs w:val="24"/>
        </w:rPr>
        <w:t>(</w:t>
      </w:r>
      <w:r w:rsidR="00A350AC" w:rsidRPr="001B61DE">
        <w:rPr>
          <w:rFonts w:cs="Times New Roman"/>
          <w:bCs/>
          <w:szCs w:val="24"/>
        </w:rPr>
        <w:t>37 NY 434, 438 [1868]</w:t>
      </w:r>
      <w:r w:rsidR="005415B8" w:rsidRPr="001B61DE">
        <w:rPr>
          <w:rFonts w:cs="Times New Roman"/>
          <w:bCs/>
          <w:szCs w:val="24"/>
        </w:rPr>
        <w:t>)</w:t>
      </w:r>
      <w:r w:rsidR="001C0A13" w:rsidRPr="001B61DE">
        <w:rPr>
          <w:rFonts w:cs="Times New Roman"/>
          <w:bCs/>
          <w:szCs w:val="24"/>
        </w:rPr>
        <w:t>, the Court</w:t>
      </w:r>
      <w:r w:rsidR="000A7E70" w:rsidRPr="001B61DE">
        <w:rPr>
          <w:rFonts w:cs="Times New Roman"/>
          <w:bCs/>
          <w:szCs w:val="24"/>
        </w:rPr>
        <w:t xml:space="preserve"> of Appeals</w:t>
      </w:r>
      <w:r w:rsidR="001C0A13" w:rsidRPr="001B61DE">
        <w:rPr>
          <w:rFonts w:cs="Times New Roman"/>
          <w:bCs/>
          <w:szCs w:val="24"/>
        </w:rPr>
        <w:t xml:space="preserve"> held that the </w:t>
      </w:r>
      <w:r w:rsidR="00A350AC" w:rsidRPr="001B61DE">
        <w:rPr>
          <w:rFonts w:cs="Times New Roman"/>
          <w:bCs/>
          <w:szCs w:val="24"/>
        </w:rPr>
        <w:t>foundation</w:t>
      </w:r>
      <w:r w:rsidR="001C0A13" w:rsidRPr="001B61DE">
        <w:rPr>
          <w:rFonts w:cs="Times New Roman"/>
          <w:bCs/>
          <w:szCs w:val="24"/>
        </w:rPr>
        <w:t xml:space="preserve"> for a prior inconsistent statement</w:t>
      </w:r>
      <w:r w:rsidR="00A350AC" w:rsidRPr="001B61DE">
        <w:rPr>
          <w:rFonts w:cs="Times New Roman"/>
          <w:bCs/>
          <w:szCs w:val="24"/>
        </w:rPr>
        <w:t xml:space="preserve"> </w:t>
      </w:r>
      <w:r w:rsidR="00FC3DD5" w:rsidRPr="001B61DE">
        <w:rPr>
          <w:rFonts w:cs="Times New Roman"/>
          <w:bCs/>
          <w:szCs w:val="24"/>
        </w:rPr>
        <w:t>“</w:t>
      </w:r>
      <w:r w:rsidR="00A350AC" w:rsidRPr="001B61DE">
        <w:rPr>
          <w:rFonts w:cs="Times New Roman"/>
          <w:bCs/>
          <w:szCs w:val="24"/>
        </w:rPr>
        <w:t>does not apply when the admission sought to be proved is that of a party to the suit. The party’s confessions are competent without interrogating him at all in regard to it</w:t>
      </w:r>
      <w:r w:rsidR="00FC3DD5" w:rsidRPr="001B61DE">
        <w:rPr>
          <w:rFonts w:cs="Times New Roman"/>
          <w:bCs/>
          <w:szCs w:val="24"/>
        </w:rPr>
        <w:t>.</w:t>
      </w:r>
      <w:r w:rsidR="00A350AC" w:rsidRPr="001B61DE">
        <w:rPr>
          <w:rFonts w:cs="Times New Roman"/>
          <w:bCs/>
          <w:szCs w:val="24"/>
        </w:rPr>
        <w:t>”</w:t>
      </w:r>
      <w:r w:rsidR="0071557A" w:rsidRPr="001B61DE">
        <w:rPr>
          <w:rFonts w:cs="Times New Roman"/>
          <w:bCs/>
          <w:szCs w:val="24"/>
        </w:rPr>
        <w:t xml:space="preserve"> </w:t>
      </w:r>
      <w:r w:rsidR="00A350AC" w:rsidRPr="001B61DE">
        <w:rPr>
          <w:rFonts w:cs="Times New Roman"/>
          <w:bCs/>
          <w:i/>
          <w:iCs/>
          <w:szCs w:val="24"/>
        </w:rPr>
        <w:t>Mindlin v Dorfman</w:t>
      </w:r>
      <w:r w:rsidR="00A350AC" w:rsidRPr="001B61DE">
        <w:rPr>
          <w:rFonts w:cs="Times New Roman"/>
          <w:bCs/>
          <w:szCs w:val="24"/>
        </w:rPr>
        <w:t xml:space="preserve"> </w:t>
      </w:r>
      <w:r w:rsidR="009C773E" w:rsidRPr="001B61DE">
        <w:rPr>
          <w:rFonts w:cs="Times New Roman"/>
          <w:bCs/>
          <w:szCs w:val="24"/>
        </w:rPr>
        <w:t>(</w:t>
      </w:r>
      <w:r w:rsidR="00A350AC" w:rsidRPr="001B61DE">
        <w:rPr>
          <w:rFonts w:cs="Times New Roman"/>
          <w:bCs/>
          <w:szCs w:val="24"/>
        </w:rPr>
        <w:t>197 A</w:t>
      </w:r>
      <w:r w:rsidR="00AF1746" w:rsidRPr="001B61DE">
        <w:rPr>
          <w:rFonts w:cs="Times New Roman"/>
          <w:bCs/>
          <w:szCs w:val="24"/>
        </w:rPr>
        <w:t xml:space="preserve">pp </w:t>
      </w:r>
      <w:r w:rsidR="00A350AC" w:rsidRPr="001B61DE">
        <w:rPr>
          <w:rFonts w:cs="Times New Roman"/>
          <w:bCs/>
          <w:szCs w:val="24"/>
        </w:rPr>
        <w:t>D</w:t>
      </w:r>
      <w:r w:rsidR="00AF1746" w:rsidRPr="001B61DE">
        <w:rPr>
          <w:rFonts w:cs="Times New Roman"/>
          <w:bCs/>
          <w:szCs w:val="24"/>
        </w:rPr>
        <w:t>iv</w:t>
      </w:r>
      <w:r w:rsidR="00A350AC" w:rsidRPr="001B61DE">
        <w:rPr>
          <w:rFonts w:cs="Times New Roman"/>
          <w:bCs/>
          <w:szCs w:val="24"/>
        </w:rPr>
        <w:t xml:space="preserve"> 770, 772 [1st Dept 1921]) explain</w:t>
      </w:r>
      <w:r w:rsidR="00B925EF" w:rsidRPr="001B61DE">
        <w:rPr>
          <w:rFonts w:cs="Times New Roman"/>
          <w:bCs/>
          <w:szCs w:val="24"/>
        </w:rPr>
        <w:t>ed</w:t>
      </w:r>
      <w:r w:rsidR="00B014EA" w:rsidRPr="001B61DE">
        <w:rPr>
          <w:rFonts w:cs="Times New Roman"/>
          <w:bCs/>
          <w:szCs w:val="24"/>
        </w:rPr>
        <w:t xml:space="preserve"> the rationale for</w:t>
      </w:r>
      <w:r w:rsidR="00A350AC" w:rsidRPr="001B61DE">
        <w:rPr>
          <w:rFonts w:cs="Times New Roman"/>
          <w:bCs/>
          <w:szCs w:val="24"/>
        </w:rPr>
        <w:t xml:space="preserve"> </w:t>
      </w:r>
      <w:r w:rsidR="00A350AC" w:rsidRPr="001B61DE">
        <w:rPr>
          <w:rFonts w:cs="Times New Roman"/>
          <w:bCs/>
          <w:i/>
          <w:iCs/>
          <w:szCs w:val="24"/>
        </w:rPr>
        <w:t xml:space="preserve">Blossom </w:t>
      </w:r>
      <w:r w:rsidR="00A350AC" w:rsidRPr="001B61DE">
        <w:rPr>
          <w:rFonts w:cs="Times New Roman"/>
          <w:bCs/>
          <w:szCs w:val="24"/>
        </w:rPr>
        <w:t>as follows:</w:t>
      </w:r>
    </w:p>
    <w:p w14:paraId="216D1EF1" w14:textId="77777777" w:rsidR="009A554C" w:rsidRPr="001B61DE" w:rsidRDefault="009A554C" w:rsidP="00706F04">
      <w:pPr>
        <w:spacing w:line="240" w:lineRule="auto"/>
        <w:ind w:left="0"/>
        <w:rPr>
          <w:rFonts w:cs="Times New Roman"/>
          <w:bCs/>
          <w:szCs w:val="24"/>
        </w:rPr>
      </w:pPr>
    </w:p>
    <w:p w14:paraId="129DCF6E" w14:textId="417719E9" w:rsidR="00A350AC" w:rsidRPr="001B61DE" w:rsidRDefault="009A554C" w:rsidP="00706F04">
      <w:pPr>
        <w:spacing w:line="240" w:lineRule="auto"/>
        <w:ind w:right="720"/>
        <w:rPr>
          <w:rFonts w:cs="Times New Roman"/>
          <w:bCs/>
          <w:szCs w:val="24"/>
        </w:rPr>
      </w:pPr>
      <w:r w:rsidRPr="001B61DE">
        <w:rPr>
          <w:rFonts w:cs="Times New Roman"/>
          <w:bCs/>
          <w:szCs w:val="24"/>
        </w:rPr>
        <w:t>“</w:t>
      </w:r>
      <w:r w:rsidR="00A350AC" w:rsidRPr="001B61DE">
        <w:rPr>
          <w:rFonts w:cs="Times New Roman"/>
          <w:bCs/>
          <w:szCs w:val="24"/>
        </w:rPr>
        <w:t>The reason for the difference in the rule relating to witnesses and parties is that the only object of requiring the warning is to provide a fair opportunity of explanation before the witnesses</w:t>
      </w:r>
      <w:r w:rsidR="00D17B70">
        <w:rPr>
          <w:rFonts w:cs="Times New Roman"/>
          <w:bCs/>
          <w:szCs w:val="24"/>
        </w:rPr>
        <w:t>’</w:t>
      </w:r>
      <w:r w:rsidR="00A350AC" w:rsidRPr="001B61DE">
        <w:rPr>
          <w:rFonts w:cs="Times New Roman"/>
          <w:bCs/>
          <w:szCs w:val="24"/>
        </w:rPr>
        <w:t xml:space="preserve"> departure, whereas a party is in theory present during the trial, and has in fact ample opportunity to protect himself by taking the stand for any explanations which he may deem necessary after hearing the testimony of his alleged admissions.</w:t>
      </w:r>
      <w:r w:rsidRPr="001B61DE">
        <w:rPr>
          <w:rFonts w:cs="Times New Roman"/>
          <w:bCs/>
          <w:szCs w:val="24"/>
        </w:rPr>
        <w:t>”</w:t>
      </w:r>
    </w:p>
    <w:p w14:paraId="3EDFA647" w14:textId="07C14AFB" w:rsidR="00B014EA" w:rsidRPr="001B61DE" w:rsidRDefault="00B014EA" w:rsidP="00706F04">
      <w:pPr>
        <w:spacing w:line="240" w:lineRule="auto"/>
        <w:ind w:left="0"/>
        <w:rPr>
          <w:rFonts w:cs="Times New Roman"/>
          <w:bCs/>
          <w:szCs w:val="24"/>
        </w:rPr>
      </w:pPr>
    </w:p>
    <w:p w14:paraId="5DB8E8B3" w14:textId="36A0B9E7" w:rsidR="00777151" w:rsidRPr="001B61DE" w:rsidRDefault="00706F04" w:rsidP="00706F04">
      <w:pPr>
        <w:tabs>
          <w:tab w:val="left" w:pos="720"/>
        </w:tabs>
        <w:spacing w:line="240" w:lineRule="auto"/>
        <w:ind w:left="0"/>
        <w:rPr>
          <w:rFonts w:cs="Times New Roman"/>
          <w:bCs/>
          <w:szCs w:val="24"/>
        </w:rPr>
      </w:pPr>
      <w:r w:rsidRPr="001B61DE">
        <w:rPr>
          <w:rFonts w:cs="Times New Roman"/>
          <w:bCs/>
          <w:szCs w:val="24"/>
        </w:rPr>
        <w:tab/>
      </w:r>
      <w:r w:rsidR="00777151" w:rsidRPr="001B61DE">
        <w:rPr>
          <w:rFonts w:cs="Times New Roman"/>
          <w:bCs/>
          <w:szCs w:val="24"/>
        </w:rPr>
        <w:t>The</w:t>
      </w:r>
      <w:r w:rsidR="002E538B" w:rsidRPr="001B61DE">
        <w:rPr>
          <w:rFonts w:cs="Times New Roman"/>
          <w:bCs/>
          <w:szCs w:val="24"/>
        </w:rPr>
        <w:t xml:space="preserve"> </w:t>
      </w:r>
      <w:r w:rsidR="00045BD4" w:rsidRPr="001B61DE">
        <w:rPr>
          <w:rFonts w:cs="Times New Roman"/>
          <w:bCs/>
          <w:szCs w:val="24"/>
        </w:rPr>
        <w:t xml:space="preserve">United States </w:t>
      </w:r>
      <w:r w:rsidR="00777151" w:rsidRPr="001B61DE">
        <w:rPr>
          <w:rFonts w:cs="Times New Roman"/>
          <w:bCs/>
          <w:szCs w:val="24"/>
        </w:rPr>
        <w:t xml:space="preserve">Supreme Court, in </w:t>
      </w:r>
      <w:r w:rsidR="00777151" w:rsidRPr="001B61DE">
        <w:rPr>
          <w:rFonts w:cs="Times New Roman"/>
          <w:bCs/>
          <w:i/>
          <w:iCs/>
          <w:szCs w:val="24"/>
        </w:rPr>
        <w:t xml:space="preserve">Oregon v Hass </w:t>
      </w:r>
      <w:r w:rsidR="00AF1746" w:rsidRPr="001B61DE">
        <w:rPr>
          <w:rFonts w:cs="Times New Roman"/>
          <w:bCs/>
          <w:szCs w:val="24"/>
        </w:rPr>
        <w:t>(4</w:t>
      </w:r>
      <w:r w:rsidR="00777151" w:rsidRPr="001B61DE">
        <w:rPr>
          <w:rFonts w:cs="Times New Roman"/>
          <w:bCs/>
          <w:szCs w:val="24"/>
        </w:rPr>
        <w:t>20 US 714</w:t>
      </w:r>
      <w:r w:rsidR="00AF1746" w:rsidRPr="001B61DE">
        <w:rPr>
          <w:rFonts w:cs="Times New Roman"/>
          <w:bCs/>
          <w:szCs w:val="24"/>
        </w:rPr>
        <w:t xml:space="preserve"> [1975])</w:t>
      </w:r>
      <w:r w:rsidR="00777151" w:rsidRPr="001B61DE">
        <w:rPr>
          <w:rFonts w:cs="Times New Roman"/>
          <w:bCs/>
          <w:szCs w:val="24"/>
        </w:rPr>
        <w:t xml:space="preserve">, approved the introduction of a statement, taken in violation of </w:t>
      </w:r>
      <w:r w:rsidR="00777151" w:rsidRPr="001B61DE">
        <w:rPr>
          <w:rFonts w:cs="Times New Roman"/>
          <w:bCs/>
          <w:i/>
          <w:iCs/>
          <w:szCs w:val="24"/>
        </w:rPr>
        <w:t>Miranda</w:t>
      </w:r>
      <w:r w:rsidR="00855A65" w:rsidRPr="001B61DE">
        <w:rPr>
          <w:rFonts w:cs="Times New Roman"/>
          <w:bCs/>
          <w:szCs w:val="24"/>
        </w:rPr>
        <w:t>, solely in rebuttal</w:t>
      </w:r>
      <w:r w:rsidR="00777151" w:rsidRPr="001B61DE">
        <w:rPr>
          <w:rFonts w:cs="Times New Roman"/>
          <w:bCs/>
          <w:szCs w:val="24"/>
        </w:rPr>
        <w:t xml:space="preserve">, to impeach the credibility of the defendant’s testimony. The defendant </w:t>
      </w:r>
      <w:r w:rsidR="00855A65" w:rsidRPr="001B61DE">
        <w:rPr>
          <w:rFonts w:cs="Times New Roman"/>
          <w:bCs/>
          <w:szCs w:val="24"/>
        </w:rPr>
        <w:t>accordingly</w:t>
      </w:r>
      <w:r w:rsidR="00777151" w:rsidRPr="001B61DE">
        <w:rPr>
          <w:rFonts w:cs="Times New Roman"/>
          <w:bCs/>
          <w:szCs w:val="24"/>
        </w:rPr>
        <w:t xml:space="preserve"> </w:t>
      </w:r>
      <w:r w:rsidR="003310F0" w:rsidRPr="001B61DE">
        <w:rPr>
          <w:rFonts w:cs="Times New Roman"/>
          <w:bCs/>
          <w:szCs w:val="24"/>
        </w:rPr>
        <w:t xml:space="preserve">was </w:t>
      </w:r>
      <w:r w:rsidR="00777151" w:rsidRPr="001B61DE">
        <w:rPr>
          <w:rFonts w:cs="Times New Roman"/>
          <w:bCs/>
          <w:szCs w:val="24"/>
        </w:rPr>
        <w:t xml:space="preserve">not </w:t>
      </w:r>
      <w:r w:rsidR="00E16227" w:rsidRPr="001B61DE">
        <w:rPr>
          <w:rFonts w:cs="Times New Roman"/>
          <w:bCs/>
          <w:szCs w:val="24"/>
        </w:rPr>
        <w:t xml:space="preserve">at </w:t>
      </w:r>
      <w:r w:rsidR="00777151" w:rsidRPr="001B61DE">
        <w:rPr>
          <w:rFonts w:cs="Times New Roman"/>
          <w:bCs/>
          <w:szCs w:val="24"/>
        </w:rPr>
        <w:t>first cross</w:t>
      </w:r>
      <w:r w:rsidR="00855A65" w:rsidRPr="001B61DE">
        <w:rPr>
          <w:rFonts w:cs="Times New Roman"/>
          <w:bCs/>
          <w:szCs w:val="24"/>
        </w:rPr>
        <w:t>-examined</w:t>
      </w:r>
      <w:r w:rsidR="00777151" w:rsidRPr="001B61DE">
        <w:rPr>
          <w:rFonts w:cs="Times New Roman"/>
          <w:bCs/>
          <w:szCs w:val="24"/>
        </w:rPr>
        <w:t xml:space="preserve"> </w:t>
      </w:r>
      <w:r w:rsidR="00855A65" w:rsidRPr="001B61DE">
        <w:rPr>
          <w:rFonts w:cs="Times New Roman"/>
          <w:bCs/>
          <w:szCs w:val="24"/>
        </w:rPr>
        <w:t>about</w:t>
      </w:r>
      <w:r w:rsidR="00777151" w:rsidRPr="001B61DE">
        <w:rPr>
          <w:rFonts w:cs="Times New Roman"/>
          <w:bCs/>
          <w:szCs w:val="24"/>
        </w:rPr>
        <w:t xml:space="preserve"> the statement. </w:t>
      </w:r>
      <w:r w:rsidR="00C3717C" w:rsidRPr="001B61DE">
        <w:rPr>
          <w:rFonts w:cs="Times New Roman"/>
          <w:bCs/>
          <w:szCs w:val="24"/>
        </w:rPr>
        <w:t xml:space="preserve">Consistent </w:t>
      </w:r>
      <w:r w:rsidR="00777151" w:rsidRPr="001B61DE">
        <w:rPr>
          <w:rFonts w:cs="Times New Roman"/>
          <w:bCs/>
          <w:szCs w:val="24"/>
        </w:rPr>
        <w:t xml:space="preserve">with the rationale of </w:t>
      </w:r>
      <w:r w:rsidR="00777151" w:rsidRPr="001B61DE">
        <w:rPr>
          <w:rFonts w:cs="Times New Roman"/>
          <w:bCs/>
          <w:i/>
          <w:iCs/>
          <w:szCs w:val="24"/>
        </w:rPr>
        <w:t xml:space="preserve">Blossom </w:t>
      </w:r>
      <w:r w:rsidR="00777151" w:rsidRPr="001B61DE">
        <w:rPr>
          <w:rFonts w:cs="Times New Roman"/>
          <w:bCs/>
          <w:szCs w:val="24"/>
        </w:rPr>
        <w:t>as</w:t>
      </w:r>
      <w:r w:rsidR="00777151" w:rsidRPr="001B61DE">
        <w:rPr>
          <w:rFonts w:cs="Times New Roman"/>
          <w:bCs/>
          <w:i/>
          <w:iCs/>
          <w:szCs w:val="24"/>
        </w:rPr>
        <w:t xml:space="preserve"> </w:t>
      </w:r>
      <w:r w:rsidR="00777151" w:rsidRPr="001B61DE">
        <w:rPr>
          <w:rFonts w:cs="Times New Roman"/>
          <w:bCs/>
          <w:szCs w:val="24"/>
        </w:rPr>
        <w:t xml:space="preserve">explained in </w:t>
      </w:r>
      <w:r w:rsidR="00777151" w:rsidRPr="001B61DE">
        <w:rPr>
          <w:rFonts w:cs="Times New Roman"/>
          <w:bCs/>
          <w:i/>
          <w:iCs/>
          <w:szCs w:val="24"/>
        </w:rPr>
        <w:t>Mindlin</w:t>
      </w:r>
      <w:r w:rsidR="00777151" w:rsidRPr="001B61DE">
        <w:rPr>
          <w:rFonts w:cs="Times New Roman"/>
          <w:bCs/>
          <w:szCs w:val="24"/>
        </w:rPr>
        <w:t>, the defendant</w:t>
      </w:r>
      <w:r w:rsidR="00777151" w:rsidRPr="001B61DE">
        <w:rPr>
          <w:rFonts w:cs="Times New Roman"/>
          <w:bCs/>
          <w:i/>
          <w:iCs/>
          <w:szCs w:val="24"/>
        </w:rPr>
        <w:t xml:space="preserve"> </w:t>
      </w:r>
      <w:r w:rsidR="00777151" w:rsidRPr="001B61DE">
        <w:rPr>
          <w:rFonts w:cs="Times New Roman"/>
          <w:bCs/>
          <w:szCs w:val="24"/>
        </w:rPr>
        <w:t xml:space="preserve">then “again took </w:t>
      </w:r>
      <w:r w:rsidR="00777151" w:rsidRPr="001B61DE">
        <w:rPr>
          <w:rFonts w:cs="Times New Roman"/>
          <w:bCs/>
          <w:szCs w:val="24"/>
        </w:rPr>
        <w:lastRenderedPageBreak/>
        <w:t xml:space="preserve">the stand” </w:t>
      </w:r>
      <w:r w:rsidR="00AF1746" w:rsidRPr="001B61DE">
        <w:rPr>
          <w:rFonts w:cs="Times New Roman"/>
          <w:bCs/>
          <w:szCs w:val="24"/>
        </w:rPr>
        <w:t>(</w:t>
      </w:r>
      <w:r w:rsidR="00AF1746" w:rsidRPr="001B61DE">
        <w:rPr>
          <w:rFonts w:cs="Times New Roman"/>
          <w:bCs/>
          <w:i/>
          <w:szCs w:val="24"/>
        </w:rPr>
        <w:t>id.</w:t>
      </w:r>
      <w:r w:rsidR="00AF1746" w:rsidRPr="001B61DE">
        <w:rPr>
          <w:rFonts w:cs="Times New Roman"/>
          <w:bCs/>
          <w:szCs w:val="24"/>
        </w:rPr>
        <w:t xml:space="preserve"> at 717) </w:t>
      </w:r>
      <w:r w:rsidR="00777151" w:rsidRPr="001B61DE">
        <w:rPr>
          <w:rFonts w:cs="Times New Roman"/>
          <w:bCs/>
          <w:szCs w:val="24"/>
        </w:rPr>
        <w:t>to address the rebuttal evidence</w:t>
      </w:r>
      <w:r w:rsidR="00EF5BBE" w:rsidRPr="001B61DE">
        <w:rPr>
          <w:rFonts w:cs="Times New Roman"/>
          <w:bCs/>
          <w:szCs w:val="24"/>
        </w:rPr>
        <w:t>,</w:t>
      </w:r>
      <w:r w:rsidR="00777151" w:rsidRPr="001B61DE">
        <w:rPr>
          <w:rFonts w:cs="Times New Roman"/>
          <w:bCs/>
          <w:szCs w:val="24"/>
        </w:rPr>
        <w:t xml:space="preserve"> </w:t>
      </w:r>
      <w:r w:rsidR="00F01DAB" w:rsidRPr="001B61DE">
        <w:rPr>
          <w:rFonts w:cs="Times New Roman"/>
          <w:bCs/>
          <w:szCs w:val="24"/>
        </w:rPr>
        <w:t xml:space="preserve">at which point </w:t>
      </w:r>
      <w:r w:rsidR="00777151" w:rsidRPr="001B61DE">
        <w:rPr>
          <w:rFonts w:cs="Times New Roman"/>
          <w:bCs/>
          <w:szCs w:val="24"/>
        </w:rPr>
        <w:t>the trial court instructed the jury that the statement bore only on the defendant’s credibility.</w:t>
      </w:r>
    </w:p>
    <w:p w14:paraId="5764C494" w14:textId="4FD63EE7" w:rsidR="002E538B" w:rsidRPr="001B61DE" w:rsidRDefault="002E538B" w:rsidP="00706F04">
      <w:pPr>
        <w:spacing w:line="240" w:lineRule="auto"/>
        <w:ind w:left="0"/>
        <w:rPr>
          <w:rFonts w:cs="Times New Roman"/>
          <w:bCs/>
          <w:szCs w:val="24"/>
        </w:rPr>
      </w:pPr>
    </w:p>
    <w:p w14:paraId="5B5509E2" w14:textId="2FDBFA18" w:rsidR="00A350AC" w:rsidRPr="001B61DE" w:rsidRDefault="00706F04" w:rsidP="00706F04">
      <w:pPr>
        <w:tabs>
          <w:tab w:val="left" w:pos="720"/>
        </w:tabs>
        <w:spacing w:line="240" w:lineRule="auto"/>
        <w:ind w:left="0"/>
        <w:rPr>
          <w:rFonts w:cs="Times New Roman"/>
          <w:bCs/>
          <w:szCs w:val="24"/>
        </w:rPr>
      </w:pPr>
      <w:r w:rsidRPr="001B61DE">
        <w:rPr>
          <w:rFonts w:cs="Times New Roman"/>
          <w:bCs/>
          <w:szCs w:val="24"/>
        </w:rPr>
        <w:tab/>
      </w:r>
      <w:r w:rsidR="004B7566" w:rsidRPr="001B61DE">
        <w:rPr>
          <w:rFonts w:cs="Times New Roman"/>
          <w:bCs/>
          <w:szCs w:val="24"/>
        </w:rPr>
        <w:t xml:space="preserve">Some </w:t>
      </w:r>
      <w:r w:rsidR="00A350AC" w:rsidRPr="001B61DE">
        <w:rPr>
          <w:rFonts w:cs="Times New Roman"/>
          <w:bCs/>
          <w:szCs w:val="24"/>
        </w:rPr>
        <w:t xml:space="preserve">Appellate Division </w:t>
      </w:r>
      <w:r w:rsidR="00FB5AF8" w:rsidRPr="001B61DE">
        <w:rPr>
          <w:rFonts w:cs="Times New Roman"/>
          <w:bCs/>
          <w:szCs w:val="24"/>
        </w:rPr>
        <w:t>decisions</w:t>
      </w:r>
      <w:r w:rsidR="00A350AC" w:rsidRPr="001B61DE">
        <w:rPr>
          <w:rFonts w:cs="Times New Roman"/>
          <w:bCs/>
          <w:szCs w:val="24"/>
        </w:rPr>
        <w:t xml:space="preserve">, without considering </w:t>
      </w:r>
      <w:r w:rsidR="00A350AC" w:rsidRPr="001B61DE">
        <w:rPr>
          <w:rFonts w:cs="Times New Roman"/>
          <w:bCs/>
          <w:i/>
          <w:iCs/>
          <w:szCs w:val="24"/>
        </w:rPr>
        <w:t>Blossom</w:t>
      </w:r>
      <w:r w:rsidR="00A350AC" w:rsidRPr="001B61DE">
        <w:rPr>
          <w:rFonts w:cs="Times New Roman"/>
          <w:bCs/>
          <w:szCs w:val="24"/>
        </w:rPr>
        <w:t>, have held that it is error not to employ the traditional foundation requirements for a statement improperly obtained from the defendant</w:t>
      </w:r>
      <w:r w:rsidR="002D4877" w:rsidRPr="001B61DE">
        <w:rPr>
          <w:rFonts w:cs="Times New Roman"/>
          <w:bCs/>
          <w:szCs w:val="24"/>
        </w:rPr>
        <w:t>,</w:t>
      </w:r>
      <w:r w:rsidR="00A350AC" w:rsidRPr="001B61DE">
        <w:rPr>
          <w:rFonts w:cs="Times New Roman"/>
          <w:bCs/>
          <w:szCs w:val="24"/>
        </w:rPr>
        <w:t xml:space="preserve"> and</w:t>
      </w:r>
      <w:r w:rsidR="00055058" w:rsidRPr="001B61DE">
        <w:rPr>
          <w:rFonts w:cs="Times New Roman"/>
          <w:bCs/>
          <w:szCs w:val="24"/>
        </w:rPr>
        <w:t>,</w:t>
      </w:r>
      <w:r w:rsidR="00A350AC" w:rsidRPr="001B61DE">
        <w:rPr>
          <w:rFonts w:cs="Times New Roman"/>
          <w:bCs/>
          <w:szCs w:val="24"/>
        </w:rPr>
        <w:t xml:space="preserve"> upon the failure to confront the defendant on cross</w:t>
      </w:r>
      <w:r w:rsidR="00943373" w:rsidRPr="001B61DE">
        <w:rPr>
          <w:rFonts w:cs="Times New Roman"/>
          <w:bCs/>
          <w:szCs w:val="24"/>
        </w:rPr>
        <w:t>-examination</w:t>
      </w:r>
      <w:r w:rsidR="00A350AC" w:rsidRPr="001B61DE">
        <w:rPr>
          <w:rFonts w:cs="Times New Roman"/>
          <w:bCs/>
          <w:szCs w:val="24"/>
        </w:rPr>
        <w:t xml:space="preserve"> with the statement</w:t>
      </w:r>
      <w:r w:rsidR="00687936" w:rsidRPr="001B61DE">
        <w:rPr>
          <w:rFonts w:cs="Times New Roman"/>
          <w:bCs/>
          <w:szCs w:val="24"/>
        </w:rPr>
        <w:t>,</w:t>
      </w:r>
      <w:r w:rsidR="00A350AC" w:rsidRPr="001B61DE">
        <w:rPr>
          <w:rFonts w:cs="Times New Roman"/>
          <w:bCs/>
          <w:szCs w:val="24"/>
        </w:rPr>
        <w:t xml:space="preserve"> rebuttal evidence of the inconsistent statement is not authorized </w:t>
      </w:r>
      <w:r w:rsidR="00AF1746" w:rsidRPr="001B61DE">
        <w:rPr>
          <w:rFonts w:cs="Times New Roman"/>
          <w:bCs/>
          <w:szCs w:val="24"/>
        </w:rPr>
        <w:t>(</w:t>
      </w:r>
      <w:r w:rsidR="00A350AC" w:rsidRPr="001B61DE">
        <w:rPr>
          <w:rFonts w:cs="Times New Roman"/>
          <w:bCs/>
          <w:i/>
          <w:iCs/>
          <w:szCs w:val="24"/>
        </w:rPr>
        <w:t>People v Robinson</w:t>
      </w:r>
      <w:r w:rsidR="00A350AC" w:rsidRPr="001B61DE">
        <w:rPr>
          <w:rFonts w:cs="Times New Roman"/>
          <w:bCs/>
          <w:szCs w:val="24"/>
        </w:rPr>
        <w:t xml:space="preserve">, 267 AD2d 1031, 1031 [4th Dept 1999]; </w:t>
      </w:r>
      <w:r w:rsidR="00A350AC" w:rsidRPr="001B61DE">
        <w:rPr>
          <w:rFonts w:cs="Times New Roman"/>
          <w:bCs/>
          <w:i/>
          <w:iCs/>
          <w:szCs w:val="24"/>
        </w:rPr>
        <w:t>People v Watford</w:t>
      </w:r>
      <w:r w:rsidR="00A350AC" w:rsidRPr="001B61DE">
        <w:rPr>
          <w:rFonts w:cs="Times New Roman"/>
          <w:bCs/>
          <w:iCs/>
          <w:szCs w:val="24"/>
        </w:rPr>
        <w:t>,</w:t>
      </w:r>
      <w:r w:rsidR="00A350AC" w:rsidRPr="001B61DE">
        <w:rPr>
          <w:rFonts w:cs="Times New Roman"/>
          <w:bCs/>
          <w:szCs w:val="24"/>
        </w:rPr>
        <w:t xml:space="preserve"> 146 AD2d 590 </w:t>
      </w:r>
      <w:r w:rsidR="00CB11CB" w:rsidRPr="001B61DE">
        <w:rPr>
          <w:rFonts w:cs="Times New Roman"/>
          <w:bCs/>
          <w:szCs w:val="24"/>
        </w:rPr>
        <w:t>[2d D</w:t>
      </w:r>
      <w:r w:rsidR="00A350AC" w:rsidRPr="001B61DE">
        <w:rPr>
          <w:rFonts w:cs="Times New Roman"/>
          <w:bCs/>
          <w:szCs w:val="24"/>
        </w:rPr>
        <w:t>ept 1989</w:t>
      </w:r>
      <w:r w:rsidR="00CB11CB" w:rsidRPr="001B61DE">
        <w:rPr>
          <w:rFonts w:cs="Times New Roman"/>
          <w:bCs/>
          <w:szCs w:val="24"/>
        </w:rPr>
        <w:t>]</w:t>
      </w:r>
      <w:r w:rsidR="00A350AC" w:rsidRPr="001B61DE">
        <w:rPr>
          <w:rFonts w:cs="Times New Roman"/>
          <w:bCs/>
          <w:szCs w:val="24"/>
        </w:rPr>
        <w:t xml:space="preserve">; </w:t>
      </w:r>
      <w:r w:rsidR="00A350AC" w:rsidRPr="001B61DE">
        <w:rPr>
          <w:rFonts w:cs="Times New Roman"/>
          <w:bCs/>
          <w:i/>
          <w:iCs/>
          <w:szCs w:val="24"/>
        </w:rPr>
        <w:t>People v Jones</w:t>
      </w:r>
      <w:r w:rsidR="00A350AC" w:rsidRPr="001B61DE">
        <w:rPr>
          <w:rFonts w:cs="Times New Roman"/>
          <w:bCs/>
          <w:szCs w:val="24"/>
        </w:rPr>
        <w:t xml:space="preserve">, 134 AD2d 915 </w:t>
      </w:r>
      <w:r w:rsidR="005415B8" w:rsidRPr="001B61DE">
        <w:rPr>
          <w:rFonts w:cs="Times New Roman"/>
          <w:bCs/>
          <w:szCs w:val="24"/>
        </w:rPr>
        <w:t>[</w:t>
      </w:r>
      <w:r w:rsidR="00A350AC" w:rsidRPr="001B61DE">
        <w:rPr>
          <w:rFonts w:cs="Times New Roman"/>
          <w:bCs/>
          <w:szCs w:val="24"/>
        </w:rPr>
        <w:t>4</w:t>
      </w:r>
      <w:r w:rsidR="00AF1746" w:rsidRPr="001B61DE">
        <w:rPr>
          <w:rFonts w:cs="Times New Roman"/>
          <w:bCs/>
          <w:szCs w:val="24"/>
        </w:rPr>
        <w:t>th</w:t>
      </w:r>
      <w:r w:rsidR="00A350AC" w:rsidRPr="001B61DE">
        <w:rPr>
          <w:rFonts w:cs="Times New Roman"/>
          <w:bCs/>
          <w:szCs w:val="24"/>
        </w:rPr>
        <w:t xml:space="preserve"> Dept 1987</w:t>
      </w:r>
      <w:r w:rsidR="005415B8" w:rsidRPr="001B61DE">
        <w:rPr>
          <w:rFonts w:cs="Times New Roman"/>
          <w:bCs/>
          <w:szCs w:val="24"/>
        </w:rPr>
        <w:t>]</w:t>
      </w:r>
      <w:r w:rsidR="00A350AC" w:rsidRPr="001B61DE">
        <w:rPr>
          <w:rFonts w:cs="Times New Roman"/>
          <w:bCs/>
          <w:szCs w:val="24"/>
        </w:rPr>
        <w:t xml:space="preserve">; </w:t>
      </w:r>
      <w:r w:rsidR="00A350AC" w:rsidRPr="001B61DE">
        <w:rPr>
          <w:rFonts w:cs="Times New Roman"/>
          <w:bCs/>
          <w:i/>
          <w:iCs/>
          <w:szCs w:val="24"/>
        </w:rPr>
        <w:t>People v Grainger</w:t>
      </w:r>
      <w:r w:rsidR="00A350AC" w:rsidRPr="001B61DE">
        <w:rPr>
          <w:rFonts w:cs="Times New Roman"/>
          <w:bCs/>
          <w:szCs w:val="24"/>
        </w:rPr>
        <w:t>, 114 AD2d 285, 290 [4th Dept 1986]</w:t>
      </w:r>
      <w:r w:rsidR="00AF1746" w:rsidRPr="001B61DE">
        <w:rPr>
          <w:rFonts w:cs="Times New Roman"/>
          <w:bCs/>
          <w:szCs w:val="24"/>
        </w:rPr>
        <w:t>)</w:t>
      </w:r>
      <w:r w:rsidR="00A350AC" w:rsidRPr="001B61DE">
        <w:rPr>
          <w:rFonts w:cs="Times New Roman"/>
          <w:bCs/>
          <w:szCs w:val="24"/>
        </w:rPr>
        <w:t>.</w:t>
      </w:r>
    </w:p>
    <w:p w14:paraId="114B821E" w14:textId="77777777" w:rsidR="00A350AC" w:rsidRPr="001B61DE" w:rsidRDefault="00A350AC" w:rsidP="00706F04">
      <w:pPr>
        <w:spacing w:line="240" w:lineRule="auto"/>
        <w:ind w:left="0"/>
        <w:rPr>
          <w:rFonts w:cs="Times New Roman"/>
          <w:bCs/>
          <w:szCs w:val="24"/>
        </w:rPr>
      </w:pPr>
    </w:p>
    <w:p w14:paraId="4DB6E27C" w14:textId="418F3017" w:rsidR="00A350AC" w:rsidRPr="001B61DE" w:rsidRDefault="00706F04" w:rsidP="00706F04">
      <w:pPr>
        <w:tabs>
          <w:tab w:val="left" w:pos="720"/>
        </w:tabs>
        <w:spacing w:line="240" w:lineRule="auto"/>
        <w:ind w:left="0"/>
        <w:rPr>
          <w:rFonts w:cs="Times New Roman"/>
          <w:bCs/>
          <w:szCs w:val="24"/>
        </w:rPr>
      </w:pPr>
      <w:r w:rsidRPr="001B61DE">
        <w:rPr>
          <w:rFonts w:cs="Times New Roman"/>
          <w:bCs/>
          <w:szCs w:val="24"/>
        </w:rPr>
        <w:tab/>
      </w:r>
      <w:r w:rsidR="0058468B" w:rsidRPr="001B61DE">
        <w:rPr>
          <w:rFonts w:cs="Times New Roman"/>
          <w:bCs/>
          <w:szCs w:val="24"/>
        </w:rPr>
        <w:t xml:space="preserve">Since </w:t>
      </w:r>
      <w:r w:rsidR="0058468B" w:rsidRPr="001B61DE">
        <w:rPr>
          <w:rFonts w:cs="Times New Roman"/>
          <w:bCs/>
          <w:i/>
          <w:iCs/>
          <w:szCs w:val="24"/>
        </w:rPr>
        <w:t>Blossom,</w:t>
      </w:r>
      <w:r w:rsidR="0058468B" w:rsidRPr="001B61DE">
        <w:rPr>
          <w:rFonts w:cs="Times New Roman"/>
          <w:bCs/>
          <w:szCs w:val="24"/>
        </w:rPr>
        <w:t xml:space="preserve"> </w:t>
      </w:r>
      <w:r w:rsidR="00F61613" w:rsidRPr="001B61DE">
        <w:rPr>
          <w:rFonts w:cs="Times New Roman"/>
          <w:bCs/>
          <w:szCs w:val="24"/>
        </w:rPr>
        <w:t xml:space="preserve">it appears that </w:t>
      </w:r>
      <w:r w:rsidR="0058468B" w:rsidRPr="001B61DE">
        <w:rPr>
          <w:rFonts w:cs="Times New Roman"/>
          <w:bCs/>
          <w:szCs w:val="24"/>
        </w:rPr>
        <w:t>t</w:t>
      </w:r>
      <w:r w:rsidR="00A350AC" w:rsidRPr="001B61DE">
        <w:rPr>
          <w:rFonts w:cs="Times New Roman"/>
          <w:bCs/>
          <w:szCs w:val="24"/>
        </w:rPr>
        <w:t xml:space="preserve">he Court of Appeals has not been </w:t>
      </w:r>
      <w:r w:rsidR="002D4877" w:rsidRPr="001B61DE">
        <w:rPr>
          <w:rFonts w:cs="Times New Roman"/>
          <w:bCs/>
          <w:szCs w:val="24"/>
        </w:rPr>
        <w:t>asked</w:t>
      </w:r>
      <w:r w:rsidR="00E23879" w:rsidRPr="001B61DE">
        <w:rPr>
          <w:rFonts w:cs="Times New Roman"/>
          <w:bCs/>
          <w:szCs w:val="24"/>
        </w:rPr>
        <w:t xml:space="preserve"> </w:t>
      </w:r>
      <w:r w:rsidR="009B6776" w:rsidRPr="001B61DE">
        <w:rPr>
          <w:rFonts w:cs="Times New Roman"/>
          <w:bCs/>
          <w:szCs w:val="24"/>
        </w:rPr>
        <w:t>whether the failure to question the defendant on cross-examination</w:t>
      </w:r>
      <w:r w:rsidR="00107B1C" w:rsidRPr="001B61DE">
        <w:rPr>
          <w:rFonts w:cs="Times New Roman"/>
          <w:bCs/>
          <w:szCs w:val="24"/>
        </w:rPr>
        <w:t xml:space="preserve"> </w:t>
      </w:r>
      <w:r w:rsidR="00E23879" w:rsidRPr="001B61DE">
        <w:rPr>
          <w:rFonts w:cs="Times New Roman"/>
          <w:bCs/>
          <w:szCs w:val="24"/>
        </w:rPr>
        <w:t>about an</w:t>
      </w:r>
      <w:r w:rsidR="00107B1C" w:rsidRPr="001B61DE">
        <w:rPr>
          <w:rFonts w:cs="Times New Roman"/>
          <w:bCs/>
          <w:szCs w:val="24"/>
        </w:rPr>
        <w:t xml:space="preserve"> improperly obtained</w:t>
      </w:r>
      <w:r w:rsidR="00E23879" w:rsidRPr="001B61DE">
        <w:rPr>
          <w:rFonts w:cs="Times New Roman"/>
          <w:bCs/>
          <w:szCs w:val="24"/>
        </w:rPr>
        <w:t xml:space="preserve"> inconsistent statement precludes its use </w:t>
      </w:r>
      <w:r w:rsidR="0088766F" w:rsidRPr="001B61DE">
        <w:rPr>
          <w:rFonts w:cs="Times New Roman"/>
          <w:bCs/>
          <w:szCs w:val="24"/>
        </w:rPr>
        <w:t>as rebuttal evidence</w:t>
      </w:r>
      <w:r w:rsidR="00A350AC" w:rsidRPr="001B61DE">
        <w:rPr>
          <w:rFonts w:cs="Times New Roman"/>
          <w:bCs/>
          <w:szCs w:val="24"/>
        </w:rPr>
        <w:t xml:space="preserve">. </w:t>
      </w:r>
      <w:r w:rsidR="002323DF" w:rsidRPr="001B61DE">
        <w:rPr>
          <w:rFonts w:cs="Times New Roman"/>
          <w:bCs/>
          <w:szCs w:val="24"/>
        </w:rPr>
        <w:t xml:space="preserve"> </w:t>
      </w:r>
      <w:r w:rsidR="00CF1AC9" w:rsidRPr="001B61DE">
        <w:rPr>
          <w:rFonts w:cs="Times New Roman"/>
          <w:bCs/>
          <w:szCs w:val="24"/>
        </w:rPr>
        <w:t>The</w:t>
      </w:r>
      <w:r w:rsidR="00A350AC" w:rsidRPr="001B61DE">
        <w:rPr>
          <w:rFonts w:cs="Times New Roman"/>
          <w:bCs/>
          <w:szCs w:val="24"/>
        </w:rPr>
        <w:t xml:space="preserve"> Court has been presented with cases in which the traditional foundation </w:t>
      </w:r>
      <w:r w:rsidR="00E432F3" w:rsidRPr="001B61DE">
        <w:rPr>
          <w:rFonts w:cs="Times New Roman"/>
          <w:bCs/>
          <w:szCs w:val="24"/>
        </w:rPr>
        <w:t>requirements were employed</w:t>
      </w:r>
      <w:r w:rsidR="002323DF" w:rsidRPr="001B61DE">
        <w:rPr>
          <w:rFonts w:cs="Times New Roman"/>
          <w:bCs/>
          <w:szCs w:val="24"/>
        </w:rPr>
        <w:t>, a</w:t>
      </w:r>
      <w:r w:rsidR="00A350AC" w:rsidRPr="001B61DE">
        <w:rPr>
          <w:rFonts w:cs="Times New Roman"/>
          <w:bCs/>
          <w:szCs w:val="24"/>
        </w:rPr>
        <w:t>nd</w:t>
      </w:r>
      <w:r w:rsidR="00CA7AD8" w:rsidRPr="001B61DE">
        <w:rPr>
          <w:rFonts w:cs="Times New Roman"/>
          <w:bCs/>
          <w:szCs w:val="24"/>
        </w:rPr>
        <w:t xml:space="preserve">, </w:t>
      </w:r>
      <w:r w:rsidR="00A350AC" w:rsidRPr="001B61DE">
        <w:rPr>
          <w:rFonts w:cs="Times New Roman"/>
          <w:bCs/>
          <w:szCs w:val="24"/>
        </w:rPr>
        <w:t>of course</w:t>
      </w:r>
      <w:r w:rsidR="005F30EF" w:rsidRPr="001B61DE">
        <w:rPr>
          <w:rFonts w:cs="Times New Roman"/>
          <w:bCs/>
          <w:szCs w:val="24"/>
        </w:rPr>
        <w:t>,</w:t>
      </w:r>
      <w:r w:rsidR="00A350AC" w:rsidRPr="001B61DE">
        <w:rPr>
          <w:rFonts w:cs="Times New Roman"/>
          <w:bCs/>
          <w:szCs w:val="24"/>
        </w:rPr>
        <w:t xml:space="preserve"> there </w:t>
      </w:r>
      <w:r w:rsidR="00363355" w:rsidRPr="001B61DE">
        <w:rPr>
          <w:rFonts w:cs="Times New Roman"/>
          <w:bCs/>
          <w:szCs w:val="24"/>
        </w:rPr>
        <w:t>wa</w:t>
      </w:r>
      <w:r w:rsidR="00A350AC" w:rsidRPr="001B61DE">
        <w:rPr>
          <w:rFonts w:cs="Times New Roman"/>
          <w:bCs/>
          <w:szCs w:val="24"/>
        </w:rPr>
        <w:t xml:space="preserve">s no error in doing so. </w:t>
      </w:r>
      <w:r w:rsidR="004513FF" w:rsidRPr="001B61DE">
        <w:rPr>
          <w:rFonts w:cs="Times New Roman"/>
          <w:bCs/>
          <w:i/>
          <w:iCs/>
          <w:szCs w:val="24"/>
        </w:rPr>
        <w:t xml:space="preserve">Wise, </w:t>
      </w:r>
      <w:r w:rsidR="004513FF" w:rsidRPr="001B61DE">
        <w:rPr>
          <w:rFonts w:cs="Times New Roman"/>
          <w:bCs/>
          <w:szCs w:val="24"/>
        </w:rPr>
        <w:t>for example,</w:t>
      </w:r>
      <w:r w:rsidR="00A350AC" w:rsidRPr="001B61DE">
        <w:rPr>
          <w:rFonts w:cs="Times New Roman"/>
          <w:bCs/>
          <w:szCs w:val="24"/>
        </w:rPr>
        <w:t xml:space="preserve"> states that the “law pertaining to prior inconsistent statements is well developed” and then lists the traditional foundation requirements</w:t>
      </w:r>
      <w:r w:rsidR="004513FF" w:rsidRPr="001B61DE">
        <w:rPr>
          <w:rFonts w:cs="Times New Roman"/>
          <w:bCs/>
          <w:szCs w:val="24"/>
        </w:rPr>
        <w:t xml:space="preserve"> that were utilized in that case</w:t>
      </w:r>
      <w:r w:rsidR="00A350AC" w:rsidRPr="001B61DE">
        <w:rPr>
          <w:rFonts w:cs="Times New Roman"/>
          <w:bCs/>
          <w:szCs w:val="24"/>
        </w:rPr>
        <w:t>; but</w:t>
      </w:r>
      <w:r w:rsidR="005F30EF" w:rsidRPr="001B61DE">
        <w:rPr>
          <w:rFonts w:cs="Times New Roman"/>
          <w:bCs/>
          <w:szCs w:val="24"/>
        </w:rPr>
        <w:t xml:space="preserve"> </w:t>
      </w:r>
      <w:r w:rsidR="005F30EF" w:rsidRPr="001B61DE">
        <w:rPr>
          <w:rFonts w:cs="Times New Roman"/>
          <w:bCs/>
          <w:i/>
          <w:iCs/>
          <w:szCs w:val="24"/>
        </w:rPr>
        <w:t>Wise</w:t>
      </w:r>
      <w:r w:rsidR="00A350AC" w:rsidRPr="001B61DE">
        <w:rPr>
          <w:rFonts w:cs="Times New Roman"/>
          <w:bCs/>
          <w:szCs w:val="24"/>
        </w:rPr>
        <w:t xml:space="preserve"> also stated that “</w:t>
      </w:r>
      <w:r w:rsidR="005415B8" w:rsidRPr="001B61DE">
        <w:rPr>
          <w:rFonts w:cs="Times New Roman"/>
          <w:bCs/>
          <w:szCs w:val="24"/>
        </w:rPr>
        <w:t>[p]</w:t>
      </w:r>
      <w:r w:rsidR="00A350AC" w:rsidRPr="001B61DE">
        <w:rPr>
          <w:rFonts w:cs="Times New Roman"/>
          <w:bCs/>
          <w:szCs w:val="24"/>
        </w:rPr>
        <w:t>rimarily at issue here is whether defendant</w:t>
      </w:r>
      <w:r w:rsidR="00D17B70">
        <w:rPr>
          <w:rFonts w:cs="Times New Roman"/>
          <w:bCs/>
          <w:szCs w:val="24"/>
        </w:rPr>
        <w:t>’</w:t>
      </w:r>
      <w:r w:rsidR="00A350AC" w:rsidRPr="001B61DE">
        <w:rPr>
          <w:rFonts w:cs="Times New Roman"/>
          <w:bCs/>
          <w:szCs w:val="24"/>
        </w:rPr>
        <w:t xml:space="preserve">s previous utterance was sufficiently inconsistent with his trial testimony to warrant its use on cross-examination” </w:t>
      </w:r>
      <w:r w:rsidR="00A77612" w:rsidRPr="001B61DE">
        <w:rPr>
          <w:rFonts w:cs="Times New Roman"/>
          <w:bCs/>
          <w:szCs w:val="24"/>
        </w:rPr>
        <w:t>(</w:t>
      </w:r>
      <w:r w:rsidR="00AB7A66" w:rsidRPr="001B61DE">
        <w:rPr>
          <w:rFonts w:cs="Times New Roman"/>
          <w:bCs/>
          <w:i/>
          <w:iCs/>
          <w:szCs w:val="24"/>
        </w:rPr>
        <w:t>Wise</w:t>
      </w:r>
      <w:r w:rsidR="00AB7A66" w:rsidRPr="001B61DE">
        <w:rPr>
          <w:rFonts w:cs="Times New Roman"/>
          <w:bCs/>
          <w:szCs w:val="24"/>
        </w:rPr>
        <w:t xml:space="preserve"> at 326</w:t>
      </w:r>
      <w:r w:rsidR="00A77612" w:rsidRPr="001B61DE">
        <w:rPr>
          <w:rFonts w:cs="Times New Roman"/>
          <w:bCs/>
          <w:szCs w:val="24"/>
        </w:rPr>
        <w:t>)</w:t>
      </w:r>
      <w:r w:rsidR="00AB7A66" w:rsidRPr="001B61DE">
        <w:rPr>
          <w:rFonts w:cs="Times New Roman"/>
          <w:bCs/>
          <w:szCs w:val="24"/>
        </w:rPr>
        <w:t>.</w:t>
      </w:r>
    </w:p>
    <w:p w14:paraId="7C1B97DE" w14:textId="77777777" w:rsidR="00A350AC" w:rsidRPr="001B61DE" w:rsidRDefault="00A350AC" w:rsidP="00706F04">
      <w:pPr>
        <w:spacing w:line="240" w:lineRule="auto"/>
        <w:ind w:left="0"/>
        <w:rPr>
          <w:rFonts w:cs="Times New Roman"/>
          <w:bCs/>
          <w:szCs w:val="24"/>
        </w:rPr>
      </w:pPr>
    </w:p>
    <w:p w14:paraId="66F77A9A" w14:textId="310BD6D3" w:rsidR="00A350AC" w:rsidRPr="001B61DE" w:rsidRDefault="00706F04" w:rsidP="00706F04">
      <w:pPr>
        <w:tabs>
          <w:tab w:val="left" w:pos="720"/>
        </w:tabs>
        <w:spacing w:line="240" w:lineRule="auto"/>
        <w:ind w:left="0"/>
        <w:rPr>
          <w:rFonts w:cs="Times New Roman"/>
          <w:bCs/>
          <w:szCs w:val="24"/>
        </w:rPr>
      </w:pPr>
      <w:r w:rsidRPr="001B61DE">
        <w:rPr>
          <w:rFonts w:cs="Times New Roman"/>
          <w:bCs/>
          <w:szCs w:val="24"/>
        </w:rPr>
        <w:tab/>
      </w:r>
      <w:r w:rsidR="00A350AC" w:rsidRPr="001B61DE">
        <w:rPr>
          <w:rFonts w:cs="Times New Roman"/>
          <w:bCs/>
          <w:szCs w:val="24"/>
        </w:rPr>
        <w:t xml:space="preserve">There </w:t>
      </w:r>
      <w:r w:rsidR="00047513" w:rsidRPr="001B61DE">
        <w:rPr>
          <w:rFonts w:cs="Times New Roman"/>
          <w:bCs/>
          <w:szCs w:val="24"/>
        </w:rPr>
        <w:t>are</w:t>
      </w:r>
      <w:r w:rsidR="00A350AC" w:rsidRPr="001B61DE">
        <w:rPr>
          <w:rFonts w:cs="Times New Roman"/>
          <w:bCs/>
          <w:szCs w:val="24"/>
        </w:rPr>
        <w:t>, however, dicta</w:t>
      </w:r>
      <w:r w:rsidR="002966FE" w:rsidRPr="001B61DE">
        <w:rPr>
          <w:rFonts w:cs="Times New Roman"/>
          <w:bCs/>
          <w:szCs w:val="24"/>
        </w:rPr>
        <w:t>,</w:t>
      </w:r>
      <w:r w:rsidR="00A350AC" w:rsidRPr="001B61DE">
        <w:rPr>
          <w:rFonts w:cs="Times New Roman"/>
          <w:bCs/>
          <w:szCs w:val="24"/>
        </w:rPr>
        <w:t xml:space="preserve"> particularly in </w:t>
      </w:r>
      <w:r w:rsidR="00A350AC" w:rsidRPr="001B61DE">
        <w:rPr>
          <w:rFonts w:cs="Times New Roman"/>
          <w:bCs/>
          <w:i/>
          <w:iCs/>
          <w:szCs w:val="24"/>
        </w:rPr>
        <w:t>People v Washington</w:t>
      </w:r>
      <w:r w:rsidR="00A350AC" w:rsidRPr="001B61DE">
        <w:rPr>
          <w:rFonts w:cs="Times New Roman"/>
          <w:bCs/>
          <w:szCs w:val="24"/>
        </w:rPr>
        <w:t xml:space="preserve"> </w:t>
      </w:r>
      <w:r w:rsidR="00A77612" w:rsidRPr="001B61DE">
        <w:rPr>
          <w:rFonts w:cs="Times New Roman"/>
          <w:bCs/>
          <w:szCs w:val="24"/>
        </w:rPr>
        <w:t>(</w:t>
      </w:r>
      <w:r w:rsidR="00A350AC" w:rsidRPr="001B61DE">
        <w:rPr>
          <w:rFonts w:cs="Times New Roman"/>
          <w:bCs/>
          <w:szCs w:val="24"/>
        </w:rPr>
        <w:t xml:space="preserve">51 NY2d 214 </w:t>
      </w:r>
      <w:r w:rsidR="00A77612" w:rsidRPr="001B61DE">
        <w:rPr>
          <w:rFonts w:cs="Times New Roman"/>
          <w:bCs/>
          <w:szCs w:val="24"/>
        </w:rPr>
        <w:t>[</w:t>
      </w:r>
      <w:r w:rsidR="00A350AC" w:rsidRPr="001B61DE">
        <w:rPr>
          <w:rFonts w:cs="Times New Roman"/>
          <w:bCs/>
          <w:szCs w:val="24"/>
        </w:rPr>
        <w:t>1980</w:t>
      </w:r>
      <w:r w:rsidR="00A77612" w:rsidRPr="001B61DE">
        <w:rPr>
          <w:rFonts w:cs="Times New Roman"/>
          <w:bCs/>
          <w:szCs w:val="24"/>
        </w:rPr>
        <w:t>]</w:t>
      </w:r>
      <w:r w:rsidR="00A350AC" w:rsidRPr="001B61DE">
        <w:rPr>
          <w:rFonts w:cs="Times New Roman"/>
          <w:bCs/>
          <w:szCs w:val="24"/>
        </w:rPr>
        <w:t>)</w:t>
      </w:r>
      <w:r w:rsidR="00AB7A66" w:rsidRPr="001B61DE">
        <w:rPr>
          <w:rFonts w:cs="Times New Roman"/>
          <w:bCs/>
          <w:szCs w:val="24"/>
        </w:rPr>
        <w:t>,</w:t>
      </w:r>
      <w:r w:rsidR="00A350AC" w:rsidRPr="001B61DE">
        <w:rPr>
          <w:rFonts w:cs="Times New Roman"/>
          <w:bCs/>
          <w:szCs w:val="24"/>
        </w:rPr>
        <w:t xml:space="preserve"> suggest</w:t>
      </w:r>
      <w:r w:rsidR="005A072D" w:rsidRPr="001B61DE">
        <w:rPr>
          <w:rFonts w:cs="Times New Roman"/>
          <w:bCs/>
          <w:szCs w:val="24"/>
        </w:rPr>
        <w:t>ing</w:t>
      </w:r>
      <w:r w:rsidR="00A350AC" w:rsidRPr="001B61DE">
        <w:rPr>
          <w:rFonts w:cs="Times New Roman"/>
          <w:bCs/>
          <w:szCs w:val="24"/>
        </w:rPr>
        <w:t xml:space="preserve"> that </w:t>
      </w:r>
      <w:r w:rsidR="00A350AC" w:rsidRPr="001B61DE">
        <w:rPr>
          <w:rFonts w:cs="Times New Roman"/>
          <w:bCs/>
          <w:i/>
          <w:iCs/>
          <w:szCs w:val="24"/>
        </w:rPr>
        <w:t>Blossom</w:t>
      </w:r>
      <w:r w:rsidR="00A350AC" w:rsidRPr="001B61DE">
        <w:rPr>
          <w:rFonts w:cs="Times New Roman"/>
          <w:bCs/>
          <w:szCs w:val="24"/>
        </w:rPr>
        <w:t xml:space="preserve"> </w:t>
      </w:r>
      <w:r w:rsidR="00665AB9" w:rsidRPr="001B61DE">
        <w:rPr>
          <w:rFonts w:cs="Times New Roman"/>
          <w:bCs/>
          <w:szCs w:val="24"/>
        </w:rPr>
        <w:t xml:space="preserve">still </w:t>
      </w:r>
      <w:r w:rsidR="00FF787B" w:rsidRPr="001B61DE">
        <w:rPr>
          <w:rFonts w:cs="Times New Roman"/>
          <w:bCs/>
          <w:szCs w:val="24"/>
        </w:rPr>
        <w:t xml:space="preserve">may </w:t>
      </w:r>
      <w:r w:rsidR="00665AB9" w:rsidRPr="001B61DE">
        <w:rPr>
          <w:rFonts w:cs="Times New Roman"/>
          <w:bCs/>
          <w:szCs w:val="24"/>
        </w:rPr>
        <w:t xml:space="preserve">represent </w:t>
      </w:r>
      <w:r w:rsidR="00FF787B" w:rsidRPr="001B61DE">
        <w:rPr>
          <w:rFonts w:cs="Times New Roman"/>
          <w:bCs/>
          <w:szCs w:val="24"/>
        </w:rPr>
        <w:t>current</w:t>
      </w:r>
      <w:r w:rsidR="00665AB9" w:rsidRPr="001B61DE">
        <w:rPr>
          <w:rFonts w:cs="Times New Roman"/>
          <w:bCs/>
          <w:szCs w:val="24"/>
        </w:rPr>
        <w:t xml:space="preserve"> law </w:t>
      </w:r>
      <w:r w:rsidR="00A350AC" w:rsidRPr="001B61DE">
        <w:rPr>
          <w:rFonts w:cs="Times New Roman"/>
          <w:bCs/>
          <w:szCs w:val="24"/>
        </w:rPr>
        <w:t>and the presentation of an inconsistent statement improperly obtained from a testifying defendant may be admissible on rebuttal</w:t>
      </w:r>
      <w:r w:rsidR="00EB3B1F" w:rsidRPr="001B61DE">
        <w:rPr>
          <w:rFonts w:cs="Times New Roman"/>
          <w:bCs/>
          <w:szCs w:val="24"/>
        </w:rPr>
        <w:t>, without first confronting the defendant on cross-examination with the statement</w:t>
      </w:r>
      <w:r w:rsidR="00A350AC" w:rsidRPr="001B61DE">
        <w:rPr>
          <w:rFonts w:cs="Times New Roman"/>
          <w:bCs/>
          <w:szCs w:val="24"/>
        </w:rPr>
        <w:t>.</w:t>
      </w:r>
      <w:r w:rsidR="00665AB9" w:rsidRPr="001B61DE">
        <w:rPr>
          <w:rFonts w:cs="Times New Roman"/>
          <w:bCs/>
          <w:szCs w:val="24"/>
        </w:rPr>
        <w:t xml:space="preserve">  </w:t>
      </w:r>
      <w:r w:rsidR="00A77612" w:rsidRPr="001B61DE">
        <w:rPr>
          <w:rFonts w:cs="Times New Roman"/>
          <w:bCs/>
          <w:i/>
          <w:szCs w:val="24"/>
        </w:rPr>
        <w:t>Washington</w:t>
      </w:r>
      <w:r w:rsidR="00A77612" w:rsidRPr="001B61DE">
        <w:rPr>
          <w:rFonts w:cs="Times New Roman"/>
          <w:bCs/>
          <w:szCs w:val="24"/>
        </w:rPr>
        <w:t xml:space="preserve"> (</w:t>
      </w:r>
      <w:r w:rsidR="00A350AC" w:rsidRPr="001B61DE">
        <w:rPr>
          <w:rFonts w:cs="Times New Roman"/>
          <w:bCs/>
          <w:szCs w:val="24"/>
        </w:rPr>
        <w:t>at 220</w:t>
      </w:r>
      <w:r w:rsidR="00A77612" w:rsidRPr="001B61DE">
        <w:rPr>
          <w:rFonts w:cs="Times New Roman"/>
          <w:bCs/>
          <w:szCs w:val="24"/>
        </w:rPr>
        <w:t>)</w:t>
      </w:r>
      <w:r w:rsidR="00A350AC" w:rsidRPr="001B61DE">
        <w:rPr>
          <w:rFonts w:cs="Times New Roman"/>
          <w:bCs/>
          <w:szCs w:val="24"/>
        </w:rPr>
        <w:t xml:space="preserve"> s</w:t>
      </w:r>
      <w:r w:rsidR="00665AB9" w:rsidRPr="001B61DE">
        <w:rPr>
          <w:rFonts w:cs="Times New Roman"/>
          <w:bCs/>
          <w:szCs w:val="24"/>
        </w:rPr>
        <w:t>tates</w:t>
      </w:r>
      <w:r w:rsidR="00A350AC" w:rsidRPr="001B61DE">
        <w:rPr>
          <w:rFonts w:cs="Times New Roman"/>
          <w:bCs/>
          <w:szCs w:val="24"/>
        </w:rPr>
        <w:t>:</w:t>
      </w:r>
      <w:r w:rsidR="00A77612" w:rsidRPr="001B61DE">
        <w:rPr>
          <w:rFonts w:cs="Times New Roman"/>
          <w:bCs/>
          <w:szCs w:val="24"/>
        </w:rPr>
        <w:t xml:space="preserve"> </w:t>
      </w:r>
      <w:r w:rsidR="00A350AC" w:rsidRPr="001B61DE">
        <w:rPr>
          <w:rFonts w:cs="Times New Roman"/>
          <w:bCs/>
          <w:szCs w:val="24"/>
        </w:rPr>
        <w:t>“It is also apparent that the prosecutor may use the statements on cross-examination of the defendant (</w:t>
      </w:r>
      <w:r w:rsidR="00A350AC" w:rsidRPr="001B61DE">
        <w:rPr>
          <w:rFonts w:cs="Times New Roman"/>
          <w:bCs/>
          <w:i/>
          <w:iCs/>
          <w:szCs w:val="24"/>
        </w:rPr>
        <w:t>Harris v New York</w:t>
      </w:r>
      <w:r w:rsidR="00A350AC" w:rsidRPr="001B61DE">
        <w:rPr>
          <w:rFonts w:cs="Times New Roman"/>
          <w:bCs/>
          <w:iCs/>
          <w:szCs w:val="24"/>
        </w:rPr>
        <w:t>,</w:t>
      </w:r>
      <w:r w:rsidR="00A350AC" w:rsidRPr="001B61DE">
        <w:rPr>
          <w:rFonts w:cs="Times New Roman"/>
          <w:bCs/>
          <w:i/>
          <w:iCs/>
          <w:szCs w:val="24"/>
        </w:rPr>
        <w:t xml:space="preserve"> supra</w:t>
      </w:r>
      <w:r w:rsidR="00A350AC" w:rsidRPr="001B61DE">
        <w:rPr>
          <w:rFonts w:cs="Times New Roman"/>
          <w:bCs/>
          <w:szCs w:val="24"/>
        </w:rPr>
        <w:t xml:space="preserve">) </w:t>
      </w:r>
      <w:r w:rsidR="00A350AC" w:rsidRPr="002768BD">
        <w:rPr>
          <w:rFonts w:cs="Times New Roman"/>
          <w:bCs/>
          <w:iCs/>
          <w:szCs w:val="24"/>
          <w:u w:val="single"/>
        </w:rPr>
        <w:t>or on rebuttal</w:t>
      </w:r>
      <w:r w:rsidR="00A350AC" w:rsidRPr="001B61DE">
        <w:rPr>
          <w:rFonts w:cs="Times New Roman"/>
          <w:bCs/>
          <w:szCs w:val="24"/>
        </w:rPr>
        <w:t xml:space="preserve"> by calling another witness to testify that the defendant made them (</w:t>
      </w:r>
      <w:r w:rsidR="00A350AC" w:rsidRPr="001B61DE">
        <w:rPr>
          <w:rFonts w:cs="Times New Roman"/>
          <w:bCs/>
          <w:i/>
          <w:iCs/>
          <w:szCs w:val="24"/>
        </w:rPr>
        <w:t>Oregon v Hass</w:t>
      </w:r>
      <w:r w:rsidR="005415B8" w:rsidRPr="001B61DE">
        <w:rPr>
          <w:rFonts w:cs="Times New Roman"/>
          <w:bCs/>
          <w:szCs w:val="24"/>
        </w:rPr>
        <w:t>,</w:t>
      </w:r>
      <w:r w:rsidR="00A350AC" w:rsidRPr="001B61DE">
        <w:rPr>
          <w:rFonts w:cs="Times New Roman"/>
          <w:bCs/>
          <w:i/>
          <w:iCs/>
          <w:szCs w:val="24"/>
        </w:rPr>
        <w:t xml:space="preserve"> supra</w:t>
      </w:r>
      <w:r w:rsidR="00A350AC" w:rsidRPr="001B61DE">
        <w:rPr>
          <w:rFonts w:cs="Times New Roman"/>
          <w:bCs/>
          <w:szCs w:val="24"/>
        </w:rPr>
        <w:t xml:space="preserve">)” </w:t>
      </w:r>
      <w:r w:rsidR="001C458C" w:rsidRPr="001B61DE">
        <w:rPr>
          <w:rFonts w:cs="Times New Roman"/>
          <w:bCs/>
          <w:szCs w:val="24"/>
        </w:rPr>
        <w:t>(e</w:t>
      </w:r>
      <w:r w:rsidR="00A350AC" w:rsidRPr="001B61DE">
        <w:rPr>
          <w:rFonts w:cs="Times New Roman"/>
          <w:bCs/>
          <w:szCs w:val="24"/>
        </w:rPr>
        <w:t>mphasis added</w:t>
      </w:r>
      <w:r w:rsidR="001C458C" w:rsidRPr="001B61DE">
        <w:rPr>
          <w:rFonts w:cs="Times New Roman"/>
          <w:bCs/>
          <w:szCs w:val="24"/>
        </w:rPr>
        <w:t>).</w:t>
      </w:r>
    </w:p>
    <w:p w14:paraId="63B9C742" w14:textId="77777777" w:rsidR="001C458C" w:rsidRPr="001B61DE" w:rsidRDefault="001C458C" w:rsidP="00706F04">
      <w:pPr>
        <w:spacing w:line="240" w:lineRule="auto"/>
        <w:ind w:left="0"/>
        <w:rPr>
          <w:rFonts w:cs="Times New Roman"/>
          <w:bCs/>
          <w:szCs w:val="24"/>
        </w:rPr>
      </w:pPr>
    </w:p>
    <w:p w14:paraId="3F2748DA" w14:textId="4C329B90" w:rsidR="00A350AC" w:rsidRPr="001B61DE" w:rsidRDefault="00706F04" w:rsidP="00706F04">
      <w:pPr>
        <w:tabs>
          <w:tab w:val="left" w:pos="720"/>
        </w:tabs>
        <w:spacing w:line="240" w:lineRule="auto"/>
        <w:ind w:left="0"/>
        <w:rPr>
          <w:rFonts w:cs="Times New Roman"/>
          <w:bCs/>
          <w:szCs w:val="24"/>
        </w:rPr>
      </w:pPr>
      <w:r w:rsidRPr="001B61DE">
        <w:rPr>
          <w:rFonts w:cs="Times New Roman"/>
          <w:bCs/>
          <w:szCs w:val="24"/>
        </w:rPr>
        <w:tab/>
      </w:r>
      <w:r w:rsidR="00A350AC" w:rsidRPr="001B61DE">
        <w:rPr>
          <w:rFonts w:cs="Times New Roman"/>
          <w:bCs/>
          <w:szCs w:val="24"/>
        </w:rPr>
        <w:t xml:space="preserve">Thus, </w:t>
      </w:r>
      <w:r w:rsidR="00A350AC" w:rsidRPr="001B61DE">
        <w:rPr>
          <w:rFonts w:cs="Times New Roman"/>
          <w:bCs/>
          <w:i/>
          <w:iCs/>
          <w:szCs w:val="24"/>
        </w:rPr>
        <w:t>Washington</w:t>
      </w:r>
      <w:r w:rsidR="00A350AC" w:rsidRPr="001B61DE">
        <w:rPr>
          <w:rFonts w:cs="Times New Roman"/>
          <w:bCs/>
          <w:szCs w:val="24"/>
        </w:rPr>
        <w:t xml:space="preserve"> s</w:t>
      </w:r>
      <w:r w:rsidR="004E5959" w:rsidRPr="001B61DE">
        <w:rPr>
          <w:rFonts w:cs="Times New Roman"/>
          <w:bCs/>
          <w:szCs w:val="24"/>
        </w:rPr>
        <w:t>tates</w:t>
      </w:r>
      <w:r w:rsidR="00A350AC" w:rsidRPr="001B61DE">
        <w:rPr>
          <w:rFonts w:cs="Times New Roman"/>
          <w:bCs/>
          <w:szCs w:val="24"/>
        </w:rPr>
        <w:t xml:space="preserve">, “or on rebuttal,” and cites to </w:t>
      </w:r>
      <w:r w:rsidR="00FF3739" w:rsidRPr="001B61DE">
        <w:rPr>
          <w:rFonts w:cs="Times New Roman"/>
          <w:bCs/>
          <w:i/>
          <w:iCs/>
          <w:szCs w:val="24"/>
        </w:rPr>
        <w:t>Hass</w:t>
      </w:r>
      <w:r w:rsidR="009D537B" w:rsidRPr="001B61DE">
        <w:rPr>
          <w:rFonts w:cs="Times New Roman"/>
          <w:bCs/>
          <w:iCs/>
          <w:szCs w:val="24"/>
        </w:rPr>
        <w:t>,</w:t>
      </w:r>
      <w:r w:rsidR="00A350AC" w:rsidRPr="001B61DE">
        <w:rPr>
          <w:rFonts w:cs="Times New Roman"/>
          <w:bCs/>
          <w:szCs w:val="24"/>
        </w:rPr>
        <w:t xml:space="preserve"> </w:t>
      </w:r>
      <w:r w:rsidR="00AF291C" w:rsidRPr="001B61DE">
        <w:rPr>
          <w:rFonts w:cs="Times New Roman"/>
          <w:bCs/>
          <w:szCs w:val="24"/>
        </w:rPr>
        <w:t>wh</w:t>
      </w:r>
      <w:r w:rsidR="00255EB9" w:rsidRPr="001B61DE">
        <w:rPr>
          <w:rFonts w:cs="Times New Roman"/>
          <w:bCs/>
          <w:szCs w:val="24"/>
        </w:rPr>
        <w:t>ich</w:t>
      </w:r>
      <w:r w:rsidR="00A350AC" w:rsidRPr="001B61DE">
        <w:rPr>
          <w:rFonts w:cs="Times New Roman"/>
          <w:bCs/>
          <w:szCs w:val="24"/>
        </w:rPr>
        <w:t xml:space="preserve"> approved introduction of the inconsistent statement </w:t>
      </w:r>
      <w:r w:rsidR="00A350AC" w:rsidRPr="001B61DE">
        <w:rPr>
          <w:rFonts w:cs="Times New Roman"/>
          <w:bCs/>
          <w:i/>
          <w:szCs w:val="24"/>
        </w:rPr>
        <w:t>solely</w:t>
      </w:r>
      <w:r w:rsidR="00A350AC" w:rsidRPr="001B61DE">
        <w:rPr>
          <w:rFonts w:cs="Times New Roman"/>
          <w:bCs/>
          <w:szCs w:val="24"/>
        </w:rPr>
        <w:t xml:space="preserve"> on rebuttal, with the right of the defendant to resume the stand to address the rebuttal (as authorized by </w:t>
      </w:r>
      <w:r w:rsidR="00A350AC" w:rsidRPr="001B61DE">
        <w:rPr>
          <w:rFonts w:cs="Times New Roman"/>
          <w:bCs/>
          <w:i/>
          <w:iCs/>
          <w:szCs w:val="24"/>
        </w:rPr>
        <w:t>Blossom</w:t>
      </w:r>
      <w:r w:rsidR="00A350AC" w:rsidRPr="001B61DE">
        <w:rPr>
          <w:rFonts w:cs="Times New Roman"/>
          <w:bCs/>
          <w:szCs w:val="24"/>
        </w:rPr>
        <w:t>), and with an instruction to the jury that the statement related only to the credibility of the defendant</w:t>
      </w:r>
      <w:r w:rsidR="00A77612" w:rsidRPr="001B61DE">
        <w:rPr>
          <w:rFonts w:cs="Times New Roman"/>
          <w:bCs/>
          <w:szCs w:val="24"/>
        </w:rPr>
        <w:t xml:space="preserve"> (</w:t>
      </w:r>
      <w:r w:rsidR="00A350AC" w:rsidRPr="001B61DE">
        <w:rPr>
          <w:rFonts w:cs="Times New Roman"/>
          <w:bCs/>
          <w:i/>
          <w:iCs/>
          <w:szCs w:val="24"/>
        </w:rPr>
        <w:t xml:space="preserve">Oregon </w:t>
      </w:r>
      <w:r w:rsidR="00A350AC" w:rsidRPr="001B61DE">
        <w:rPr>
          <w:rFonts w:cs="Times New Roman"/>
          <w:bCs/>
          <w:iCs/>
          <w:szCs w:val="24"/>
        </w:rPr>
        <w:t>at</w:t>
      </w:r>
      <w:r w:rsidR="00A350AC" w:rsidRPr="001B61DE">
        <w:rPr>
          <w:rFonts w:cs="Times New Roman"/>
          <w:bCs/>
          <w:i/>
          <w:iCs/>
          <w:szCs w:val="24"/>
        </w:rPr>
        <w:t xml:space="preserve"> </w:t>
      </w:r>
      <w:r w:rsidR="00A350AC" w:rsidRPr="001B61DE">
        <w:rPr>
          <w:rFonts w:cs="Times New Roman"/>
          <w:bCs/>
          <w:szCs w:val="24"/>
        </w:rPr>
        <w:t>717</w:t>
      </w:r>
      <w:r w:rsidR="00A77612" w:rsidRPr="001B61DE">
        <w:rPr>
          <w:rFonts w:cs="Times New Roman"/>
          <w:bCs/>
          <w:szCs w:val="24"/>
        </w:rPr>
        <w:t>)</w:t>
      </w:r>
      <w:r w:rsidR="00A350AC" w:rsidRPr="001B61DE">
        <w:rPr>
          <w:rFonts w:cs="Times New Roman"/>
          <w:bCs/>
          <w:szCs w:val="24"/>
        </w:rPr>
        <w:t>.</w:t>
      </w:r>
    </w:p>
    <w:p w14:paraId="57347E5D" w14:textId="77777777" w:rsidR="009062D0" w:rsidRPr="001B61DE" w:rsidRDefault="009062D0" w:rsidP="00706F04">
      <w:pPr>
        <w:spacing w:line="240" w:lineRule="auto"/>
        <w:ind w:left="0"/>
        <w:rPr>
          <w:rFonts w:cs="Times New Roman"/>
          <w:bCs/>
          <w:szCs w:val="24"/>
        </w:rPr>
      </w:pPr>
    </w:p>
    <w:p w14:paraId="26497017" w14:textId="29EEE75B" w:rsidR="005634C2" w:rsidRPr="001B61DE" w:rsidRDefault="00706F04" w:rsidP="00706F04">
      <w:pPr>
        <w:tabs>
          <w:tab w:val="left" w:pos="720"/>
        </w:tabs>
        <w:spacing w:line="240" w:lineRule="auto"/>
        <w:ind w:left="0"/>
        <w:rPr>
          <w:rFonts w:cs="Times New Roman"/>
          <w:bCs/>
          <w:szCs w:val="24"/>
        </w:rPr>
      </w:pPr>
      <w:r w:rsidRPr="001B61DE">
        <w:rPr>
          <w:rFonts w:cs="Times New Roman"/>
          <w:bCs/>
          <w:i/>
          <w:iCs/>
          <w:szCs w:val="24"/>
        </w:rPr>
        <w:tab/>
      </w:r>
      <w:r w:rsidR="000D4EFA" w:rsidRPr="001B61DE">
        <w:rPr>
          <w:rFonts w:cs="Times New Roman"/>
          <w:bCs/>
          <w:i/>
          <w:iCs/>
          <w:szCs w:val="24"/>
        </w:rPr>
        <w:t>Wise</w:t>
      </w:r>
      <w:r w:rsidR="000D4EFA" w:rsidRPr="001B61DE">
        <w:rPr>
          <w:rFonts w:cs="Times New Roman"/>
          <w:bCs/>
          <w:szCs w:val="24"/>
        </w:rPr>
        <w:t xml:space="preserve"> also makes a point of explaining that the evidence of the statement presented in rebuttal in that case met the requirements for rebuttal evidence, not simply that </w:t>
      </w:r>
      <w:r w:rsidR="00997220" w:rsidRPr="001B61DE">
        <w:rPr>
          <w:rFonts w:cs="Times New Roman"/>
          <w:bCs/>
          <w:szCs w:val="24"/>
        </w:rPr>
        <w:t xml:space="preserve">the </w:t>
      </w:r>
      <w:r w:rsidR="000D4EFA" w:rsidRPr="001B61DE">
        <w:rPr>
          <w:rFonts w:cs="Times New Roman"/>
          <w:bCs/>
          <w:szCs w:val="24"/>
        </w:rPr>
        <w:t xml:space="preserve">statement was admissible on rebuttal because the defendant denied making the statement on cross-examination. </w:t>
      </w:r>
      <w:r w:rsidR="00F825C2" w:rsidRPr="001B61DE">
        <w:rPr>
          <w:rFonts w:cs="Times New Roman"/>
          <w:bCs/>
          <w:szCs w:val="24"/>
        </w:rPr>
        <w:t xml:space="preserve"> (</w:t>
      </w:r>
      <w:r w:rsidR="008F5953" w:rsidRPr="001B61DE">
        <w:rPr>
          <w:rFonts w:cs="Times New Roman"/>
          <w:bCs/>
          <w:i/>
          <w:iCs/>
          <w:szCs w:val="24"/>
        </w:rPr>
        <w:t>Wise</w:t>
      </w:r>
      <w:r w:rsidR="008F5953" w:rsidRPr="001B61DE">
        <w:rPr>
          <w:rFonts w:cs="Times New Roman"/>
          <w:bCs/>
          <w:szCs w:val="24"/>
        </w:rPr>
        <w:t xml:space="preserve"> at 328</w:t>
      </w:r>
      <w:r w:rsidR="00F825C2" w:rsidRPr="001B61DE">
        <w:rPr>
          <w:rFonts w:cs="Times New Roman"/>
          <w:bCs/>
          <w:szCs w:val="24"/>
        </w:rPr>
        <w:t>;</w:t>
      </w:r>
      <w:r w:rsidR="00D2686E" w:rsidRPr="001B61DE">
        <w:rPr>
          <w:rFonts w:cs="Times New Roman"/>
          <w:bCs/>
          <w:szCs w:val="24"/>
        </w:rPr>
        <w:t xml:space="preserve"> </w:t>
      </w:r>
      <w:r w:rsidR="00F825C2" w:rsidRPr="001B61DE">
        <w:rPr>
          <w:rFonts w:cs="Times New Roman"/>
          <w:bCs/>
          <w:i/>
          <w:szCs w:val="24"/>
        </w:rPr>
        <w:t>cf</w:t>
      </w:r>
      <w:r w:rsidR="00D2686E" w:rsidRPr="001B61DE">
        <w:rPr>
          <w:rFonts w:cs="Times New Roman"/>
          <w:bCs/>
          <w:i/>
          <w:iCs/>
          <w:szCs w:val="24"/>
        </w:rPr>
        <w:t xml:space="preserve">. </w:t>
      </w:r>
      <w:r w:rsidR="00A350AC" w:rsidRPr="001B61DE">
        <w:rPr>
          <w:rFonts w:cs="Times New Roman"/>
          <w:bCs/>
          <w:i/>
          <w:iCs/>
          <w:szCs w:val="24"/>
        </w:rPr>
        <w:t>People v Knight</w:t>
      </w:r>
      <w:r w:rsidR="00A350AC" w:rsidRPr="001B61DE">
        <w:rPr>
          <w:rFonts w:cs="Times New Roman"/>
          <w:bCs/>
          <w:szCs w:val="24"/>
        </w:rPr>
        <w:t>, 80 NY2d 845, 847 [1992] [“the rule prohibiting the use of extrinsic evidence to impeach a witness on a matter that is merely collateral . . . has no application where the issue to which the evidence relates is material in the sense that it is relevant to the very issues that the jury must decide”]</w:t>
      </w:r>
      <w:r w:rsidR="00C917F5" w:rsidRPr="001B61DE">
        <w:rPr>
          <w:rFonts w:cs="Times New Roman"/>
          <w:bCs/>
          <w:szCs w:val="24"/>
        </w:rPr>
        <w:t xml:space="preserve">; </w:t>
      </w:r>
      <w:r w:rsidR="00A350AC" w:rsidRPr="001B61DE">
        <w:rPr>
          <w:rFonts w:cs="Times New Roman"/>
          <w:bCs/>
          <w:i/>
          <w:iCs/>
          <w:szCs w:val="24"/>
        </w:rPr>
        <w:t>People v Patterson</w:t>
      </w:r>
      <w:r w:rsidR="00A350AC" w:rsidRPr="001B61DE">
        <w:rPr>
          <w:rFonts w:cs="Times New Roman"/>
          <w:bCs/>
          <w:szCs w:val="24"/>
        </w:rPr>
        <w:t xml:space="preserve">, 194 AD2d 570, 571 </w:t>
      </w:r>
      <w:r w:rsidR="00A350AC" w:rsidRPr="001B61DE">
        <w:rPr>
          <w:rFonts w:cs="Times New Roman"/>
          <w:bCs/>
          <w:szCs w:val="24"/>
        </w:rPr>
        <w:lastRenderedPageBreak/>
        <w:t xml:space="preserve">[2d Dept 1993] [“Under </w:t>
      </w:r>
      <w:r w:rsidR="00A350AC" w:rsidRPr="001B61DE">
        <w:rPr>
          <w:rFonts w:cs="Times New Roman"/>
          <w:bCs/>
          <w:i/>
          <w:iCs/>
          <w:szCs w:val="24"/>
        </w:rPr>
        <w:t>People v</w:t>
      </w:r>
      <w:r w:rsidR="00CB4220" w:rsidRPr="001B61DE">
        <w:rPr>
          <w:rFonts w:cs="Times New Roman"/>
          <w:bCs/>
          <w:i/>
          <w:iCs/>
          <w:szCs w:val="24"/>
        </w:rPr>
        <w:t xml:space="preserve"> Knight</w:t>
      </w:r>
      <w:r w:rsidR="00A350AC" w:rsidRPr="001B61DE">
        <w:rPr>
          <w:rFonts w:cs="Times New Roman"/>
          <w:bCs/>
          <w:szCs w:val="24"/>
        </w:rPr>
        <w:t>, extrinsic evidence is not admissible if offered solely on the issue of the witness</w:t>
      </w:r>
      <w:r w:rsidR="00D17B70">
        <w:rPr>
          <w:rFonts w:cs="Times New Roman"/>
          <w:bCs/>
          <w:szCs w:val="24"/>
        </w:rPr>
        <w:t>’</w:t>
      </w:r>
      <w:r w:rsidR="00A350AC" w:rsidRPr="001B61DE">
        <w:rPr>
          <w:rFonts w:cs="Times New Roman"/>
          <w:bCs/>
          <w:szCs w:val="24"/>
        </w:rPr>
        <w:t>s general credibility but may be admitted to the extent that it bears on the truthfulness of the alibi if it is used to challenge the validity of the alibi, a material issue in the case.  If this threshold is met, the fact that the evidence also tends to impeach the witness</w:t>
      </w:r>
      <w:r w:rsidR="00D17B70">
        <w:rPr>
          <w:rFonts w:cs="Times New Roman"/>
          <w:bCs/>
          <w:szCs w:val="24"/>
        </w:rPr>
        <w:t>’</w:t>
      </w:r>
      <w:r w:rsidR="00A350AC" w:rsidRPr="001B61DE">
        <w:rPr>
          <w:rFonts w:cs="Times New Roman"/>
          <w:bCs/>
          <w:szCs w:val="24"/>
        </w:rPr>
        <w:t xml:space="preserve"> credibility does not render the evidence collateral”</w:t>
      </w:r>
      <w:r w:rsidR="00CB4220" w:rsidRPr="001B61DE">
        <w:rPr>
          <w:rFonts w:cs="Times New Roman"/>
          <w:bCs/>
          <w:szCs w:val="24"/>
        </w:rPr>
        <w:t xml:space="preserve"> (</w:t>
      </w:r>
      <w:r w:rsidR="00345B36" w:rsidRPr="001B61DE">
        <w:rPr>
          <w:rFonts w:cs="Times New Roman"/>
          <w:bCs/>
          <w:szCs w:val="24"/>
        </w:rPr>
        <w:t xml:space="preserve">citation and </w:t>
      </w:r>
      <w:r w:rsidR="005415B8" w:rsidRPr="001B61DE">
        <w:rPr>
          <w:rFonts w:cs="Times New Roman"/>
          <w:bCs/>
          <w:szCs w:val="24"/>
        </w:rPr>
        <w:t xml:space="preserve">internal </w:t>
      </w:r>
      <w:r w:rsidR="00345B36" w:rsidRPr="001B61DE">
        <w:rPr>
          <w:rFonts w:cs="Times New Roman"/>
          <w:bCs/>
          <w:szCs w:val="24"/>
        </w:rPr>
        <w:t>quotation marks omitted)].</w:t>
      </w:r>
      <w:r w:rsidR="00F825C2" w:rsidRPr="001B61DE">
        <w:rPr>
          <w:rFonts w:cs="Times New Roman"/>
          <w:bCs/>
          <w:szCs w:val="24"/>
        </w:rPr>
        <w:t>)</w:t>
      </w:r>
    </w:p>
    <w:p w14:paraId="2ED267AE" w14:textId="58E04132" w:rsidR="005634C2" w:rsidRPr="001B61DE" w:rsidRDefault="005634C2" w:rsidP="00706F04">
      <w:pPr>
        <w:spacing w:line="240" w:lineRule="auto"/>
        <w:ind w:hanging="720"/>
        <w:rPr>
          <w:rFonts w:cs="Times New Roman"/>
          <w:bCs/>
          <w:szCs w:val="24"/>
        </w:rPr>
      </w:pPr>
    </w:p>
    <w:p w14:paraId="276F20D9" w14:textId="55BF2A96" w:rsidR="0019351E" w:rsidRPr="001B61DE" w:rsidRDefault="00706F04" w:rsidP="00706F04">
      <w:pPr>
        <w:tabs>
          <w:tab w:val="left" w:pos="720"/>
        </w:tabs>
        <w:spacing w:line="240" w:lineRule="auto"/>
        <w:ind w:left="0"/>
        <w:rPr>
          <w:rFonts w:cs="Times New Roman"/>
          <w:bCs/>
          <w:szCs w:val="24"/>
        </w:rPr>
      </w:pPr>
      <w:r w:rsidRPr="001B61DE">
        <w:rPr>
          <w:rFonts w:cs="Times New Roman"/>
          <w:b/>
          <w:szCs w:val="24"/>
        </w:rPr>
        <w:tab/>
      </w:r>
      <w:r w:rsidR="0019351E" w:rsidRPr="001B61DE">
        <w:rPr>
          <w:rFonts w:cs="Times New Roman"/>
          <w:b/>
          <w:szCs w:val="24"/>
        </w:rPr>
        <w:t>Subdivision (3)</w:t>
      </w:r>
      <w:r w:rsidR="0019351E" w:rsidRPr="001B61DE">
        <w:rPr>
          <w:rFonts w:cs="Times New Roman"/>
          <w:bCs/>
          <w:szCs w:val="24"/>
        </w:rPr>
        <w:t xml:space="preserve"> </w:t>
      </w:r>
      <w:r w:rsidR="00695892" w:rsidRPr="001B61DE">
        <w:rPr>
          <w:rFonts w:cs="Times New Roman"/>
          <w:bCs/>
          <w:szCs w:val="24"/>
        </w:rPr>
        <w:t>states</w:t>
      </w:r>
      <w:r w:rsidR="00C737E4" w:rsidRPr="001B61DE">
        <w:rPr>
          <w:rFonts w:cs="Times New Roman"/>
          <w:bCs/>
          <w:szCs w:val="24"/>
        </w:rPr>
        <w:t xml:space="preserve"> the </w:t>
      </w:r>
      <w:r w:rsidR="003C39A5" w:rsidRPr="001B61DE">
        <w:rPr>
          <w:rFonts w:cs="Times New Roman"/>
          <w:bCs/>
          <w:szCs w:val="24"/>
        </w:rPr>
        <w:t>undisputed holding of decisional law</w:t>
      </w:r>
      <w:r w:rsidR="005039DF" w:rsidRPr="001B61DE">
        <w:rPr>
          <w:rFonts w:cs="Times New Roman"/>
          <w:bCs/>
          <w:szCs w:val="24"/>
        </w:rPr>
        <w:t xml:space="preserve"> that </w:t>
      </w:r>
      <w:r w:rsidR="009F3147" w:rsidRPr="001B61DE">
        <w:rPr>
          <w:rFonts w:cs="Times New Roman"/>
          <w:bCs/>
          <w:szCs w:val="24"/>
        </w:rPr>
        <w:t>any authorized use of evidence improperly obtained is solely for the purposes of impeach</w:t>
      </w:r>
      <w:r w:rsidR="00994280" w:rsidRPr="001B61DE">
        <w:rPr>
          <w:rFonts w:cs="Times New Roman"/>
          <w:bCs/>
          <w:szCs w:val="24"/>
        </w:rPr>
        <w:t>ment</w:t>
      </w:r>
      <w:r w:rsidR="003C39A5" w:rsidRPr="001B61DE">
        <w:rPr>
          <w:rFonts w:cs="Times New Roman"/>
          <w:bCs/>
          <w:szCs w:val="24"/>
        </w:rPr>
        <w:t xml:space="preserve"> </w:t>
      </w:r>
      <w:r w:rsidR="00F825C2" w:rsidRPr="001B61DE">
        <w:rPr>
          <w:rFonts w:cs="Times New Roman"/>
          <w:bCs/>
          <w:szCs w:val="24"/>
        </w:rPr>
        <w:t>(</w:t>
      </w:r>
      <w:r w:rsidR="000D505F" w:rsidRPr="001B61DE">
        <w:rPr>
          <w:rFonts w:eastAsia="Calibri" w:cs="Times New Roman"/>
          <w:bCs/>
          <w:i/>
          <w:iCs/>
          <w:szCs w:val="24"/>
        </w:rPr>
        <w:t>People v Ricco</w:t>
      </w:r>
      <w:r w:rsidR="000D505F" w:rsidRPr="001B61DE">
        <w:rPr>
          <w:rFonts w:eastAsia="Calibri" w:cs="Times New Roman"/>
          <w:bCs/>
          <w:szCs w:val="24"/>
        </w:rPr>
        <w:t>, 56 NY2d at 323</w:t>
      </w:r>
      <w:r w:rsidR="00F825C2" w:rsidRPr="001B61DE">
        <w:rPr>
          <w:rFonts w:eastAsia="Calibri" w:cs="Times New Roman"/>
          <w:bCs/>
          <w:szCs w:val="24"/>
        </w:rPr>
        <w:t>)</w:t>
      </w:r>
      <w:r w:rsidR="00695892" w:rsidRPr="001B61DE">
        <w:rPr>
          <w:rFonts w:eastAsia="Calibri" w:cs="Times New Roman"/>
          <w:bCs/>
          <w:szCs w:val="24"/>
        </w:rPr>
        <w:t>.</w:t>
      </w:r>
    </w:p>
    <w:sectPr w:rsidR="0019351E" w:rsidRPr="001B61DE" w:rsidSect="00706F04">
      <w:footerReference w:type="default" r:id="rId7"/>
      <w:pgSz w:w="12240" w:h="15840" w:code="1"/>
      <w:pgMar w:top="1440" w:right="2160" w:bottom="1440" w:left="216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9670D" w14:textId="77777777" w:rsidR="000B7515" w:rsidRDefault="000B7515" w:rsidP="001B61DE">
      <w:pPr>
        <w:spacing w:line="240" w:lineRule="auto"/>
      </w:pPr>
      <w:r>
        <w:separator/>
      </w:r>
    </w:p>
  </w:endnote>
  <w:endnote w:type="continuationSeparator" w:id="0">
    <w:p w14:paraId="7E8642DD" w14:textId="77777777" w:rsidR="000B7515" w:rsidRDefault="000B7515" w:rsidP="001B61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0128919"/>
      <w:docPartObj>
        <w:docPartGallery w:val="Page Numbers (Bottom of Page)"/>
        <w:docPartUnique/>
      </w:docPartObj>
    </w:sdtPr>
    <w:sdtEndPr>
      <w:rPr>
        <w:noProof/>
      </w:rPr>
    </w:sdtEndPr>
    <w:sdtContent>
      <w:p w14:paraId="6434BF52" w14:textId="4EF6B3E0" w:rsidR="001B61DE" w:rsidRDefault="001B61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CEA68F" w14:textId="77777777" w:rsidR="001B61DE" w:rsidRDefault="001B6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52383" w14:textId="77777777" w:rsidR="000B7515" w:rsidRDefault="000B7515" w:rsidP="001B61DE">
      <w:pPr>
        <w:spacing w:line="240" w:lineRule="auto"/>
      </w:pPr>
      <w:r>
        <w:separator/>
      </w:r>
    </w:p>
  </w:footnote>
  <w:footnote w:type="continuationSeparator" w:id="0">
    <w:p w14:paraId="18527ADA" w14:textId="77777777" w:rsidR="000B7515" w:rsidRDefault="000B7515" w:rsidP="001B61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B38B0"/>
    <w:multiLevelType w:val="hybridMultilevel"/>
    <w:tmpl w:val="990CEBBA"/>
    <w:lvl w:ilvl="0" w:tplc="1CC65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4869B7"/>
    <w:multiLevelType w:val="hybridMultilevel"/>
    <w:tmpl w:val="9FEA63F8"/>
    <w:lvl w:ilvl="0" w:tplc="817AC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60457B"/>
    <w:multiLevelType w:val="hybridMultilevel"/>
    <w:tmpl w:val="990CEBBA"/>
    <w:lvl w:ilvl="0" w:tplc="1CC65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8D1C77"/>
    <w:multiLevelType w:val="hybridMultilevel"/>
    <w:tmpl w:val="990CEBBA"/>
    <w:lvl w:ilvl="0" w:tplc="1CC65D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C87"/>
    <w:rsid w:val="00003DE7"/>
    <w:rsid w:val="000059BB"/>
    <w:rsid w:val="00005C89"/>
    <w:rsid w:val="000137CF"/>
    <w:rsid w:val="000147F6"/>
    <w:rsid w:val="000202D2"/>
    <w:rsid w:val="0002075A"/>
    <w:rsid w:val="00021590"/>
    <w:rsid w:val="0002459E"/>
    <w:rsid w:val="000338F9"/>
    <w:rsid w:val="00042120"/>
    <w:rsid w:val="000455FE"/>
    <w:rsid w:val="00045BD4"/>
    <w:rsid w:val="00047513"/>
    <w:rsid w:val="00051717"/>
    <w:rsid w:val="00055058"/>
    <w:rsid w:val="000572A5"/>
    <w:rsid w:val="0006003F"/>
    <w:rsid w:val="0006141F"/>
    <w:rsid w:val="00063691"/>
    <w:rsid w:val="00064C52"/>
    <w:rsid w:val="00073E1E"/>
    <w:rsid w:val="00074A61"/>
    <w:rsid w:val="00083598"/>
    <w:rsid w:val="0008789C"/>
    <w:rsid w:val="00091AC0"/>
    <w:rsid w:val="00092097"/>
    <w:rsid w:val="00094F29"/>
    <w:rsid w:val="000A052D"/>
    <w:rsid w:val="000A7E70"/>
    <w:rsid w:val="000B1DC4"/>
    <w:rsid w:val="000B4ED8"/>
    <w:rsid w:val="000B7288"/>
    <w:rsid w:val="000B7515"/>
    <w:rsid w:val="000C5FE5"/>
    <w:rsid w:val="000D20EA"/>
    <w:rsid w:val="000D4EFA"/>
    <w:rsid w:val="000D505F"/>
    <w:rsid w:val="000E1B03"/>
    <w:rsid w:val="000E796A"/>
    <w:rsid w:val="000F0E40"/>
    <w:rsid w:val="000F7EF7"/>
    <w:rsid w:val="001061E6"/>
    <w:rsid w:val="001072B0"/>
    <w:rsid w:val="0010799E"/>
    <w:rsid w:val="00107B1C"/>
    <w:rsid w:val="00116B05"/>
    <w:rsid w:val="00130F23"/>
    <w:rsid w:val="00133795"/>
    <w:rsid w:val="00134494"/>
    <w:rsid w:val="00134728"/>
    <w:rsid w:val="001410DC"/>
    <w:rsid w:val="0014257A"/>
    <w:rsid w:val="00150964"/>
    <w:rsid w:val="001563B7"/>
    <w:rsid w:val="001611C2"/>
    <w:rsid w:val="00162F52"/>
    <w:rsid w:val="00170F48"/>
    <w:rsid w:val="00176104"/>
    <w:rsid w:val="001828B4"/>
    <w:rsid w:val="00184FAF"/>
    <w:rsid w:val="00187742"/>
    <w:rsid w:val="00190CEC"/>
    <w:rsid w:val="0019351E"/>
    <w:rsid w:val="001A6D7B"/>
    <w:rsid w:val="001B2876"/>
    <w:rsid w:val="001B4CE4"/>
    <w:rsid w:val="001B61DE"/>
    <w:rsid w:val="001C0A13"/>
    <w:rsid w:val="001C3A9F"/>
    <w:rsid w:val="001C458C"/>
    <w:rsid w:val="001C4FEB"/>
    <w:rsid w:val="001C75AF"/>
    <w:rsid w:val="001D2FC3"/>
    <w:rsid w:val="001D3C14"/>
    <w:rsid w:val="001E3498"/>
    <w:rsid w:val="001E7781"/>
    <w:rsid w:val="001E7E91"/>
    <w:rsid w:val="001F2384"/>
    <w:rsid w:val="001F6EB8"/>
    <w:rsid w:val="00204002"/>
    <w:rsid w:val="002044CE"/>
    <w:rsid w:val="0020637C"/>
    <w:rsid w:val="00207BDF"/>
    <w:rsid w:val="002110ED"/>
    <w:rsid w:val="00220105"/>
    <w:rsid w:val="002224AD"/>
    <w:rsid w:val="00231EDB"/>
    <w:rsid w:val="002323DF"/>
    <w:rsid w:val="00233126"/>
    <w:rsid w:val="00250E24"/>
    <w:rsid w:val="00251F51"/>
    <w:rsid w:val="0025254A"/>
    <w:rsid w:val="00254992"/>
    <w:rsid w:val="00255EB9"/>
    <w:rsid w:val="00261B55"/>
    <w:rsid w:val="00262B73"/>
    <w:rsid w:val="00264275"/>
    <w:rsid w:val="002768BD"/>
    <w:rsid w:val="00282643"/>
    <w:rsid w:val="00283B93"/>
    <w:rsid w:val="00284435"/>
    <w:rsid w:val="002867EB"/>
    <w:rsid w:val="00287050"/>
    <w:rsid w:val="002870E0"/>
    <w:rsid w:val="00292AFB"/>
    <w:rsid w:val="00293F7E"/>
    <w:rsid w:val="002966FE"/>
    <w:rsid w:val="002975AB"/>
    <w:rsid w:val="002A3CDB"/>
    <w:rsid w:val="002A4A2A"/>
    <w:rsid w:val="002A5934"/>
    <w:rsid w:val="002A66D3"/>
    <w:rsid w:val="002B2200"/>
    <w:rsid w:val="002B3F52"/>
    <w:rsid w:val="002C02A5"/>
    <w:rsid w:val="002C2102"/>
    <w:rsid w:val="002C4084"/>
    <w:rsid w:val="002C4F78"/>
    <w:rsid w:val="002C6798"/>
    <w:rsid w:val="002D0D2F"/>
    <w:rsid w:val="002D4073"/>
    <w:rsid w:val="002D4877"/>
    <w:rsid w:val="002D65C6"/>
    <w:rsid w:val="002D7760"/>
    <w:rsid w:val="002E4A26"/>
    <w:rsid w:val="002E538B"/>
    <w:rsid w:val="002E5980"/>
    <w:rsid w:val="002E65F9"/>
    <w:rsid w:val="002F4F82"/>
    <w:rsid w:val="002F62C2"/>
    <w:rsid w:val="002F6714"/>
    <w:rsid w:val="00300CE7"/>
    <w:rsid w:val="00305423"/>
    <w:rsid w:val="0031325B"/>
    <w:rsid w:val="003140CA"/>
    <w:rsid w:val="00327045"/>
    <w:rsid w:val="003310F0"/>
    <w:rsid w:val="00331CF1"/>
    <w:rsid w:val="00336A06"/>
    <w:rsid w:val="00340AD4"/>
    <w:rsid w:val="003443C2"/>
    <w:rsid w:val="00345B36"/>
    <w:rsid w:val="00345D37"/>
    <w:rsid w:val="00353497"/>
    <w:rsid w:val="00360DCF"/>
    <w:rsid w:val="00363355"/>
    <w:rsid w:val="0037381C"/>
    <w:rsid w:val="00375B67"/>
    <w:rsid w:val="00375FAB"/>
    <w:rsid w:val="00377EE8"/>
    <w:rsid w:val="00384841"/>
    <w:rsid w:val="003851FF"/>
    <w:rsid w:val="00386D68"/>
    <w:rsid w:val="003907C6"/>
    <w:rsid w:val="00391E5C"/>
    <w:rsid w:val="003923CB"/>
    <w:rsid w:val="00396CB3"/>
    <w:rsid w:val="003978A7"/>
    <w:rsid w:val="003A2439"/>
    <w:rsid w:val="003A2985"/>
    <w:rsid w:val="003A44AC"/>
    <w:rsid w:val="003A6BB9"/>
    <w:rsid w:val="003C1814"/>
    <w:rsid w:val="003C1CD1"/>
    <w:rsid w:val="003C225A"/>
    <w:rsid w:val="003C39A5"/>
    <w:rsid w:val="003D1101"/>
    <w:rsid w:val="003D5F5E"/>
    <w:rsid w:val="003D6AFE"/>
    <w:rsid w:val="003E3BA9"/>
    <w:rsid w:val="003F2683"/>
    <w:rsid w:val="00407CBB"/>
    <w:rsid w:val="00410F6C"/>
    <w:rsid w:val="00431BFE"/>
    <w:rsid w:val="00442B80"/>
    <w:rsid w:val="004439DE"/>
    <w:rsid w:val="00444C66"/>
    <w:rsid w:val="004513FF"/>
    <w:rsid w:val="00452C4C"/>
    <w:rsid w:val="00452C71"/>
    <w:rsid w:val="00456318"/>
    <w:rsid w:val="00466931"/>
    <w:rsid w:val="004670CF"/>
    <w:rsid w:val="00470B45"/>
    <w:rsid w:val="004719DD"/>
    <w:rsid w:val="00474D1E"/>
    <w:rsid w:val="0047632D"/>
    <w:rsid w:val="00476A72"/>
    <w:rsid w:val="00477F99"/>
    <w:rsid w:val="004852BF"/>
    <w:rsid w:val="0048780C"/>
    <w:rsid w:val="004A0D33"/>
    <w:rsid w:val="004A1C9A"/>
    <w:rsid w:val="004A7B33"/>
    <w:rsid w:val="004B59F9"/>
    <w:rsid w:val="004B7566"/>
    <w:rsid w:val="004C0C22"/>
    <w:rsid w:val="004C3C43"/>
    <w:rsid w:val="004D02FF"/>
    <w:rsid w:val="004D528F"/>
    <w:rsid w:val="004E0F4B"/>
    <w:rsid w:val="004E4A44"/>
    <w:rsid w:val="004E5959"/>
    <w:rsid w:val="004F0393"/>
    <w:rsid w:val="004F05C9"/>
    <w:rsid w:val="004F639E"/>
    <w:rsid w:val="005014B7"/>
    <w:rsid w:val="005014F6"/>
    <w:rsid w:val="005039DF"/>
    <w:rsid w:val="00504CDE"/>
    <w:rsid w:val="00505437"/>
    <w:rsid w:val="00506139"/>
    <w:rsid w:val="00511117"/>
    <w:rsid w:val="00513BF8"/>
    <w:rsid w:val="00515B37"/>
    <w:rsid w:val="005201DD"/>
    <w:rsid w:val="00520DC2"/>
    <w:rsid w:val="005210A4"/>
    <w:rsid w:val="00534048"/>
    <w:rsid w:val="005343E1"/>
    <w:rsid w:val="00536606"/>
    <w:rsid w:val="005415B8"/>
    <w:rsid w:val="005415BC"/>
    <w:rsid w:val="00541872"/>
    <w:rsid w:val="005543CE"/>
    <w:rsid w:val="00554662"/>
    <w:rsid w:val="005634C2"/>
    <w:rsid w:val="00563829"/>
    <w:rsid w:val="00573C50"/>
    <w:rsid w:val="00580110"/>
    <w:rsid w:val="0058468B"/>
    <w:rsid w:val="00587B11"/>
    <w:rsid w:val="0059170D"/>
    <w:rsid w:val="00593DB1"/>
    <w:rsid w:val="005960AD"/>
    <w:rsid w:val="00597A8E"/>
    <w:rsid w:val="00597EAA"/>
    <w:rsid w:val="005A072D"/>
    <w:rsid w:val="005A16E8"/>
    <w:rsid w:val="005A256A"/>
    <w:rsid w:val="005A49EB"/>
    <w:rsid w:val="005A4D7E"/>
    <w:rsid w:val="005B0844"/>
    <w:rsid w:val="005B2B6F"/>
    <w:rsid w:val="005B6EFF"/>
    <w:rsid w:val="005C00A4"/>
    <w:rsid w:val="005C46C9"/>
    <w:rsid w:val="005D1603"/>
    <w:rsid w:val="005D53D9"/>
    <w:rsid w:val="005E0463"/>
    <w:rsid w:val="005E279E"/>
    <w:rsid w:val="005E429D"/>
    <w:rsid w:val="005F1525"/>
    <w:rsid w:val="005F2EF0"/>
    <w:rsid w:val="005F30EF"/>
    <w:rsid w:val="005F7165"/>
    <w:rsid w:val="005F7418"/>
    <w:rsid w:val="00600EF9"/>
    <w:rsid w:val="00607ADE"/>
    <w:rsid w:val="006121D0"/>
    <w:rsid w:val="00613E3F"/>
    <w:rsid w:val="00615B19"/>
    <w:rsid w:val="00616E6A"/>
    <w:rsid w:val="006259E2"/>
    <w:rsid w:val="00631817"/>
    <w:rsid w:val="00632E69"/>
    <w:rsid w:val="0063310B"/>
    <w:rsid w:val="006352D4"/>
    <w:rsid w:val="0065346B"/>
    <w:rsid w:val="00657C3D"/>
    <w:rsid w:val="006611EB"/>
    <w:rsid w:val="006648DD"/>
    <w:rsid w:val="00665AB9"/>
    <w:rsid w:val="00665C1B"/>
    <w:rsid w:val="00666F70"/>
    <w:rsid w:val="00672F63"/>
    <w:rsid w:val="00680530"/>
    <w:rsid w:val="006806F4"/>
    <w:rsid w:val="00684289"/>
    <w:rsid w:val="00685C49"/>
    <w:rsid w:val="00687936"/>
    <w:rsid w:val="00692983"/>
    <w:rsid w:val="00694D17"/>
    <w:rsid w:val="00695892"/>
    <w:rsid w:val="00697869"/>
    <w:rsid w:val="00697905"/>
    <w:rsid w:val="00697AE6"/>
    <w:rsid w:val="006B3CD4"/>
    <w:rsid w:val="006B66FB"/>
    <w:rsid w:val="006C1EB4"/>
    <w:rsid w:val="006C4654"/>
    <w:rsid w:val="006C6351"/>
    <w:rsid w:val="006C641A"/>
    <w:rsid w:val="006C65D1"/>
    <w:rsid w:val="006D3AC9"/>
    <w:rsid w:val="006E05D2"/>
    <w:rsid w:val="00706F04"/>
    <w:rsid w:val="00710DC4"/>
    <w:rsid w:val="00712FEE"/>
    <w:rsid w:val="00713C89"/>
    <w:rsid w:val="00713E8B"/>
    <w:rsid w:val="0071557A"/>
    <w:rsid w:val="00717A79"/>
    <w:rsid w:val="007208A2"/>
    <w:rsid w:val="00720C3D"/>
    <w:rsid w:val="007237B3"/>
    <w:rsid w:val="007241C6"/>
    <w:rsid w:val="0073131C"/>
    <w:rsid w:val="00735C1D"/>
    <w:rsid w:val="007371F8"/>
    <w:rsid w:val="00746446"/>
    <w:rsid w:val="00746F3A"/>
    <w:rsid w:val="007574A4"/>
    <w:rsid w:val="007769AC"/>
    <w:rsid w:val="00777151"/>
    <w:rsid w:val="00784D50"/>
    <w:rsid w:val="00785396"/>
    <w:rsid w:val="00793D76"/>
    <w:rsid w:val="007A106F"/>
    <w:rsid w:val="007B4131"/>
    <w:rsid w:val="007B50DE"/>
    <w:rsid w:val="007B53F7"/>
    <w:rsid w:val="007B575D"/>
    <w:rsid w:val="007D57DA"/>
    <w:rsid w:val="007D59B7"/>
    <w:rsid w:val="007D6ED9"/>
    <w:rsid w:val="007D71B4"/>
    <w:rsid w:val="007E0E9D"/>
    <w:rsid w:val="007E0F94"/>
    <w:rsid w:val="007E3093"/>
    <w:rsid w:val="007E79EC"/>
    <w:rsid w:val="007E7A94"/>
    <w:rsid w:val="007F45AF"/>
    <w:rsid w:val="007F480F"/>
    <w:rsid w:val="007F71FC"/>
    <w:rsid w:val="00803E8F"/>
    <w:rsid w:val="00804334"/>
    <w:rsid w:val="008125AC"/>
    <w:rsid w:val="008164EC"/>
    <w:rsid w:val="00817BAD"/>
    <w:rsid w:val="00820237"/>
    <w:rsid w:val="00821DCE"/>
    <w:rsid w:val="00833755"/>
    <w:rsid w:val="0083678B"/>
    <w:rsid w:val="00837D33"/>
    <w:rsid w:val="008402F0"/>
    <w:rsid w:val="00845273"/>
    <w:rsid w:val="008464AA"/>
    <w:rsid w:val="00855A65"/>
    <w:rsid w:val="00860CAB"/>
    <w:rsid w:val="008626C4"/>
    <w:rsid w:val="00865513"/>
    <w:rsid w:val="00882847"/>
    <w:rsid w:val="0088766F"/>
    <w:rsid w:val="008969FB"/>
    <w:rsid w:val="008A057B"/>
    <w:rsid w:val="008A0B93"/>
    <w:rsid w:val="008A173D"/>
    <w:rsid w:val="008A4C48"/>
    <w:rsid w:val="008A5A4C"/>
    <w:rsid w:val="008A7481"/>
    <w:rsid w:val="008B19DC"/>
    <w:rsid w:val="008B4D87"/>
    <w:rsid w:val="008C4985"/>
    <w:rsid w:val="008C5541"/>
    <w:rsid w:val="008D0165"/>
    <w:rsid w:val="008D74B1"/>
    <w:rsid w:val="008E0177"/>
    <w:rsid w:val="008E37BC"/>
    <w:rsid w:val="008E47C9"/>
    <w:rsid w:val="008E4F44"/>
    <w:rsid w:val="008E5395"/>
    <w:rsid w:val="008E7ED1"/>
    <w:rsid w:val="008F000B"/>
    <w:rsid w:val="008F0CBA"/>
    <w:rsid w:val="008F21CB"/>
    <w:rsid w:val="008F558E"/>
    <w:rsid w:val="008F5953"/>
    <w:rsid w:val="009048C5"/>
    <w:rsid w:val="009062D0"/>
    <w:rsid w:val="00907048"/>
    <w:rsid w:val="00913AAC"/>
    <w:rsid w:val="00914739"/>
    <w:rsid w:val="00916A4A"/>
    <w:rsid w:val="0092646D"/>
    <w:rsid w:val="009274A7"/>
    <w:rsid w:val="00930F49"/>
    <w:rsid w:val="00933DC1"/>
    <w:rsid w:val="009352DC"/>
    <w:rsid w:val="009373F0"/>
    <w:rsid w:val="00937DAA"/>
    <w:rsid w:val="00943373"/>
    <w:rsid w:val="00944AC3"/>
    <w:rsid w:val="00944D4C"/>
    <w:rsid w:val="00946E9C"/>
    <w:rsid w:val="00950C1E"/>
    <w:rsid w:val="00952CF0"/>
    <w:rsid w:val="00961B10"/>
    <w:rsid w:val="00963F88"/>
    <w:rsid w:val="009703D0"/>
    <w:rsid w:val="0098341A"/>
    <w:rsid w:val="00987932"/>
    <w:rsid w:val="00994280"/>
    <w:rsid w:val="00994E01"/>
    <w:rsid w:val="009961AC"/>
    <w:rsid w:val="00997220"/>
    <w:rsid w:val="00997C75"/>
    <w:rsid w:val="009A3287"/>
    <w:rsid w:val="009A554C"/>
    <w:rsid w:val="009B0181"/>
    <w:rsid w:val="009B4CDB"/>
    <w:rsid w:val="009B4DF4"/>
    <w:rsid w:val="009B6776"/>
    <w:rsid w:val="009C287D"/>
    <w:rsid w:val="009C5FEB"/>
    <w:rsid w:val="009C773E"/>
    <w:rsid w:val="009D4DF9"/>
    <w:rsid w:val="009D537B"/>
    <w:rsid w:val="009E2201"/>
    <w:rsid w:val="009E777F"/>
    <w:rsid w:val="009F21EB"/>
    <w:rsid w:val="009F22BF"/>
    <w:rsid w:val="009F3147"/>
    <w:rsid w:val="009F6AEA"/>
    <w:rsid w:val="00A02323"/>
    <w:rsid w:val="00A03842"/>
    <w:rsid w:val="00A04F15"/>
    <w:rsid w:val="00A0628E"/>
    <w:rsid w:val="00A11883"/>
    <w:rsid w:val="00A22E59"/>
    <w:rsid w:val="00A23F66"/>
    <w:rsid w:val="00A2580A"/>
    <w:rsid w:val="00A27E80"/>
    <w:rsid w:val="00A30E56"/>
    <w:rsid w:val="00A350AC"/>
    <w:rsid w:val="00A35E19"/>
    <w:rsid w:val="00A364ED"/>
    <w:rsid w:val="00A42C2D"/>
    <w:rsid w:val="00A445C3"/>
    <w:rsid w:val="00A4578F"/>
    <w:rsid w:val="00A53784"/>
    <w:rsid w:val="00A61429"/>
    <w:rsid w:val="00A61835"/>
    <w:rsid w:val="00A657AB"/>
    <w:rsid w:val="00A6650D"/>
    <w:rsid w:val="00A72C3D"/>
    <w:rsid w:val="00A72CE3"/>
    <w:rsid w:val="00A73B6E"/>
    <w:rsid w:val="00A75BC7"/>
    <w:rsid w:val="00A77612"/>
    <w:rsid w:val="00A837FE"/>
    <w:rsid w:val="00A85A49"/>
    <w:rsid w:val="00A90A59"/>
    <w:rsid w:val="00A9622D"/>
    <w:rsid w:val="00A97335"/>
    <w:rsid w:val="00AA2BD9"/>
    <w:rsid w:val="00AA5B23"/>
    <w:rsid w:val="00AB2787"/>
    <w:rsid w:val="00AB621F"/>
    <w:rsid w:val="00AB6BCD"/>
    <w:rsid w:val="00AB7A66"/>
    <w:rsid w:val="00AC0236"/>
    <w:rsid w:val="00AC5906"/>
    <w:rsid w:val="00AD4F84"/>
    <w:rsid w:val="00AD5A9D"/>
    <w:rsid w:val="00AD5BA1"/>
    <w:rsid w:val="00AD7187"/>
    <w:rsid w:val="00AE0A25"/>
    <w:rsid w:val="00AE20EC"/>
    <w:rsid w:val="00AE2333"/>
    <w:rsid w:val="00AF1746"/>
    <w:rsid w:val="00AF291C"/>
    <w:rsid w:val="00AF3BAA"/>
    <w:rsid w:val="00B014EA"/>
    <w:rsid w:val="00B01BC9"/>
    <w:rsid w:val="00B02191"/>
    <w:rsid w:val="00B03EE8"/>
    <w:rsid w:val="00B05590"/>
    <w:rsid w:val="00B056A5"/>
    <w:rsid w:val="00B0684D"/>
    <w:rsid w:val="00B11202"/>
    <w:rsid w:val="00B141E9"/>
    <w:rsid w:val="00B14435"/>
    <w:rsid w:val="00B154F3"/>
    <w:rsid w:val="00B34F05"/>
    <w:rsid w:val="00B35D67"/>
    <w:rsid w:val="00B36B90"/>
    <w:rsid w:val="00B37108"/>
    <w:rsid w:val="00B40478"/>
    <w:rsid w:val="00B42C51"/>
    <w:rsid w:val="00B44B48"/>
    <w:rsid w:val="00B463CC"/>
    <w:rsid w:val="00B60960"/>
    <w:rsid w:val="00B60E77"/>
    <w:rsid w:val="00B6309B"/>
    <w:rsid w:val="00B66A6A"/>
    <w:rsid w:val="00B70AC3"/>
    <w:rsid w:val="00B71596"/>
    <w:rsid w:val="00B734C7"/>
    <w:rsid w:val="00B84B61"/>
    <w:rsid w:val="00B86D0B"/>
    <w:rsid w:val="00B90277"/>
    <w:rsid w:val="00B9235A"/>
    <w:rsid w:val="00B925EF"/>
    <w:rsid w:val="00B95F34"/>
    <w:rsid w:val="00BA482D"/>
    <w:rsid w:val="00BA6C87"/>
    <w:rsid w:val="00BB0152"/>
    <w:rsid w:val="00BB075C"/>
    <w:rsid w:val="00BB2D86"/>
    <w:rsid w:val="00BB68BB"/>
    <w:rsid w:val="00BB7786"/>
    <w:rsid w:val="00BD25F6"/>
    <w:rsid w:val="00BD3005"/>
    <w:rsid w:val="00BE70E1"/>
    <w:rsid w:val="00BF2833"/>
    <w:rsid w:val="00BF32D9"/>
    <w:rsid w:val="00C014BD"/>
    <w:rsid w:val="00C01E23"/>
    <w:rsid w:val="00C0229C"/>
    <w:rsid w:val="00C02558"/>
    <w:rsid w:val="00C02C71"/>
    <w:rsid w:val="00C0335C"/>
    <w:rsid w:val="00C12249"/>
    <w:rsid w:val="00C16A01"/>
    <w:rsid w:val="00C20ED8"/>
    <w:rsid w:val="00C215B5"/>
    <w:rsid w:val="00C26550"/>
    <w:rsid w:val="00C333A6"/>
    <w:rsid w:val="00C3717C"/>
    <w:rsid w:val="00C450E6"/>
    <w:rsid w:val="00C46090"/>
    <w:rsid w:val="00C46B2A"/>
    <w:rsid w:val="00C5038C"/>
    <w:rsid w:val="00C62723"/>
    <w:rsid w:val="00C63FD0"/>
    <w:rsid w:val="00C737E4"/>
    <w:rsid w:val="00C917F5"/>
    <w:rsid w:val="00C91F88"/>
    <w:rsid w:val="00C92EE0"/>
    <w:rsid w:val="00CA7631"/>
    <w:rsid w:val="00CA7AD8"/>
    <w:rsid w:val="00CB11CB"/>
    <w:rsid w:val="00CB187B"/>
    <w:rsid w:val="00CB1CCB"/>
    <w:rsid w:val="00CB237D"/>
    <w:rsid w:val="00CB4220"/>
    <w:rsid w:val="00CB5F89"/>
    <w:rsid w:val="00CC2675"/>
    <w:rsid w:val="00CC2B6F"/>
    <w:rsid w:val="00CC3C19"/>
    <w:rsid w:val="00CC59DF"/>
    <w:rsid w:val="00CD68A8"/>
    <w:rsid w:val="00CF1AC9"/>
    <w:rsid w:val="00CF2F0D"/>
    <w:rsid w:val="00CF62FF"/>
    <w:rsid w:val="00CF7AF2"/>
    <w:rsid w:val="00D00406"/>
    <w:rsid w:val="00D03096"/>
    <w:rsid w:val="00D031A0"/>
    <w:rsid w:val="00D03221"/>
    <w:rsid w:val="00D13553"/>
    <w:rsid w:val="00D175F8"/>
    <w:rsid w:val="00D179B5"/>
    <w:rsid w:val="00D17B70"/>
    <w:rsid w:val="00D21C58"/>
    <w:rsid w:val="00D233AD"/>
    <w:rsid w:val="00D2686E"/>
    <w:rsid w:val="00D31AD7"/>
    <w:rsid w:val="00D41234"/>
    <w:rsid w:val="00D5130E"/>
    <w:rsid w:val="00D53ACE"/>
    <w:rsid w:val="00D5639A"/>
    <w:rsid w:val="00D61E58"/>
    <w:rsid w:val="00D62232"/>
    <w:rsid w:val="00D776C7"/>
    <w:rsid w:val="00D81694"/>
    <w:rsid w:val="00D8318E"/>
    <w:rsid w:val="00D8473E"/>
    <w:rsid w:val="00D9124C"/>
    <w:rsid w:val="00DA40B0"/>
    <w:rsid w:val="00DA7CAB"/>
    <w:rsid w:val="00DC13FB"/>
    <w:rsid w:val="00DD2ED8"/>
    <w:rsid w:val="00DD7D71"/>
    <w:rsid w:val="00DE0BBE"/>
    <w:rsid w:val="00DE0C9E"/>
    <w:rsid w:val="00DE558A"/>
    <w:rsid w:val="00DF48E0"/>
    <w:rsid w:val="00E16227"/>
    <w:rsid w:val="00E20868"/>
    <w:rsid w:val="00E22B96"/>
    <w:rsid w:val="00E23879"/>
    <w:rsid w:val="00E24B53"/>
    <w:rsid w:val="00E3490B"/>
    <w:rsid w:val="00E37D58"/>
    <w:rsid w:val="00E41BC9"/>
    <w:rsid w:val="00E4236F"/>
    <w:rsid w:val="00E432F3"/>
    <w:rsid w:val="00E473A3"/>
    <w:rsid w:val="00E476C0"/>
    <w:rsid w:val="00E519FB"/>
    <w:rsid w:val="00E60CA4"/>
    <w:rsid w:val="00E610DF"/>
    <w:rsid w:val="00E6233F"/>
    <w:rsid w:val="00E77CC6"/>
    <w:rsid w:val="00E81FE6"/>
    <w:rsid w:val="00E82936"/>
    <w:rsid w:val="00E858D0"/>
    <w:rsid w:val="00E90477"/>
    <w:rsid w:val="00E96A85"/>
    <w:rsid w:val="00E9713B"/>
    <w:rsid w:val="00E97EC1"/>
    <w:rsid w:val="00EA1272"/>
    <w:rsid w:val="00EA3127"/>
    <w:rsid w:val="00EA3C78"/>
    <w:rsid w:val="00EA5915"/>
    <w:rsid w:val="00EA6CAF"/>
    <w:rsid w:val="00EB13FD"/>
    <w:rsid w:val="00EB3865"/>
    <w:rsid w:val="00EB3B1F"/>
    <w:rsid w:val="00EB4619"/>
    <w:rsid w:val="00EB5760"/>
    <w:rsid w:val="00EB6493"/>
    <w:rsid w:val="00EC2E58"/>
    <w:rsid w:val="00EC63C6"/>
    <w:rsid w:val="00ED3425"/>
    <w:rsid w:val="00ED56F0"/>
    <w:rsid w:val="00EE417E"/>
    <w:rsid w:val="00EF5BBE"/>
    <w:rsid w:val="00F01DAB"/>
    <w:rsid w:val="00F0462C"/>
    <w:rsid w:val="00F214A0"/>
    <w:rsid w:val="00F22095"/>
    <w:rsid w:val="00F221DC"/>
    <w:rsid w:val="00F2468F"/>
    <w:rsid w:val="00F24F0C"/>
    <w:rsid w:val="00F329B3"/>
    <w:rsid w:val="00F33F7E"/>
    <w:rsid w:val="00F37749"/>
    <w:rsid w:val="00F407AB"/>
    <w:rsid w:val="00F4434B"/>
    <w:rsid w:val="00F448F9"/>
    <w:rsid w:val="00F450B3"/>
    <w:rsid w:val="00F51DD1"/>
    <w:rsid w:val="00F53013"/>
    <w:rsid w:val="00F538F9"/>
    <w:rsid w:val="00F54869"/>
    <w:rsid w:val="00F60CBB"/>
    <w:rsid w:val="00F61613"/>
    <w:rsid w:val="00F710D4"/>
    <w:rsid w:val="00F817AE"/>
    <w:rsid w:val="00F825C2"/>
    <w:rsid w:val="00F8750A"/>
    <w:rsid w:val="00F92A86"/>
    <w:rsid w:val="00F9317B"/>
    <w:rsid w:val="00F97F22"/>
    <w:rsid w:val="00FA2195"/>
    <w:rsid w:val="00FA21E9"/>
    <w:rsid w:val="00FA3D85"/>
    <w:rsid w:val="00FA7AAB"/>
    <w:rsid w:val="00FB01C3"/>
    <w:rsid w:val="00FB01F7"/>
    <w:rsid w:val="00FB41E9"/>
    <w:rsid w:val="00FB5AF8"/>
    <w:rsid w:val="00FC0C45"/>
    <w:rsid w:val="00FC1AC6"/>
    <w:rsid w:val="00FC3DD5"/>
    <w:rsid w:val="00FC686B"/>
    <w:rsid w:val="00FD2ACD"/>
    <w:rsid w:val="00FD6938"/>
    <w:rsid w:val="00FD7421"/>
    <w:rsid w:val="00FE2A5E"/>
    <w:rsid w:val="00FE3A49"/>
    <w:rsid w:val="00FE3AB7"/>
    <w:rsid w:val="00FF0704"/>
    <w:rsid w:val="00FF100F"/>
    <w:rsid w:val="00FF3739"/>
    <w:rsid w:val="00FF711B"/>
    <w:rsid w:val="00FF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720A"/>
  <w15:chartTrackingRefBased/>
  <w15:docId w15:val="{38CFB6F8-DDF8-4528-8F0E-0333E06D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F0D"/>
    <w:pPr>
      <w:spacing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117"/>
    <w:pPr>
      <w:contextualSpacing/>
    </w:pPr>
  </w:style>
  <w:style w:type="character" w:styleId="Hyperlink">
    <w:name w:val="Hyperlink"/>
    <w:basedOn w:val="DefaultParagraphFont"/>
    <w:uiPriority w:val="99"/>
    <w:unhideWhenUsed/>
    <w:rsid w:val="008E4F44"/>
    <w:rPr>
      <w:color w:val="0563C1" w:themeColor="hyperlink"/>
      <w:u w:val="single"/>
    </w:rPr>
  </w:style>
  <w:style w:type="character" w:styleId="UnresolvedMention">
    <w:name w:val="Unresolved Mention"/>
    <w:basedOn w:val="DefaultParagraphFont"/>
    <w:uiPriority w:val="99"/>
    <w:semiHidden/>
    <w:unhideWhenUsed/>
    <w:rsid w:val="008E4F44"/>
    <w:rPr>
      <w:color w:val="605E5C"/>
      <w:shd w:val="clear" w:color="auto" w:fill="E1DFDD"/>
    </w:rPr>
  </w:style>
  <w:style w:type="character" w:customStyle="1" w:styleId="costarpage">
    <w:name w:val="co_starpage"/>
    <w:basedOn w:val="DefaultParagraphFont"/>
    <w:rsid w:val="00442B80"/>
  </w:style>
  <w:style w:type="character" w:styleId="CommentReference">
    <w:name w:val="annotation reference"/>
    <w:basedOn w:val="DefaultParagraphFont"/>
    <w:uiPriority w:val="99"/>
    <w:semiHidden/>
    <w:unhideWhenUsed/>
    <w:rsid w:val="00EB3865"/>
    <w:rPr>
      <w:sz w:val="16"/>
      <w:szCs w:val="16"/>
    </w:rPr>
  </w:style>
  <w:style w:type="paragraph" w:styleId="CommentText">
    <w:name w:val="annotation text"/>
    <w:basedOn w:val="Normal"/>
    <w:link w:val="CommentTextChar"/>
    <w:uiPriority w:val="99"/>
    <w:semiHidden/>
    <w:unhideWhenUsed/>
    <w:rsid w:val="00EB3865"/>
    <w:pPr>
      <w:spacing w:line="240" w:lineRule="auto"/>
    </w:pPr>
    <w:rPr>
      <w:sz w:val="20"/>
      <w:szCs w:val="20"/>
    </w:rPr>
  </w:style>
  <w:style w:type="character" w:customStyle="1" w:styleId="CommentTextChar">
    <w:name w:val="Comment Text Char"/>
    <w:basedOn w:val="DefaultParagraphFont"/>
    <w:link w:val="CommentText"/>
    <w:uiPriority w:val="99"/>
    <w:semiHidden/>
    <w:rsid w:val="00EB386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B3865"/>
    <w:rPr>
      <w:b/>
      <w:bCs/>
    </w:rPr>
  </w:style>
  <w:style w:type="character" w:customStyle="1" w:styleId="CommentSubjectChar">
    <w:name w:val="Comment Subject Char"/>
    <w:basedOn w:val="CommentTextChar"/>
    <w:link w:val="CommentSubject"/>
    <w:uiPriority w:val="99"/>
    <w:semiHidden/>
    <w:rsid w:val="00EB3865"/>
    <w:rPr>
      <w:rFonts w:ascii="Times New Roman" w:hAnsi="Times New Roman"/>
      <w:b/>
      <w:bCs/>
      <w:sz w:val="20"/>
      <w:szCs w:val="20"/>
    </w:rPr>
  </w:style>
  <w:style w:type="paragraph" w:styleId="BalloonText">
    <w:name w:val="Balloon Text"/>
    <w:basedOn w:val="Normal"/>
    <w:link w:val="BalloonTextChar"/>
    <w:uiPriority w:val="99"/>
    <w:semiHidden/>
    <w:unhideWhenUsed/>
    <w:rsid w:val="00EB38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865"/>
    <w:rPr>
      <w:rFonts w:ascii="Segoe UI" w:hAnsi="Segoe UI" w:cs="Segoe UI"/>
      <w:sz w:val="18"/>
      <w:szCs w:val="18"/>
    </w:rPr>
  </w:style>
  <w:style w:type="paragraph" w:styleId="Header">
    <w:name w:val="header"/>
    <w:basedOn w:val="Normal"/>
    <w:link w:val="HeaderChar"/>
    <w:uiPriority w:val="99"/>
    <w:unhideWhenUsed/>
    <w:rsid w:val="001B61DE"/>
    <w:pPr>
      <w:tabs>
        <w:tab w:val="center" w:pos="4680"/>
        <w:tab w:val="right" w:pos="9360"/>
      </w:tabs>
      <w:spacing w:line="240" w:lineRule="auto"/>
    </w:pPr>
  </w:style>
  <w:style w:type="character" w:customStyle="1" w:styleId="HeaderChar">
    <w:name w:val="Header Char"/>
    <w:basedOn w:val="DefaultParagraphFont"/>
    <w:link w:val="Header"/>
    <w:uiPriority w:val="99"/>
    <w:rsid w:val="001B61DE"/>
    <w:rPr>
      <w:rFonts w:ascii="Times New Roman" w:hAnsi="Times New Roman"/>
      <w:sz w:val="24"/>
    </w:rPr>
  </w:style>
  <w:style w:type="paragraph" w:styleId="Footer">
    <w:name w:val="footer"/>
    <w:basedOn w:val="Normal"/>
    <w:link w:val="FooterChar"/>
    <w:uiPriority w:val="99"/>
    <w:unhideWhenUsed/>
    <w:rsid w:val="001B61DE"/>
    <w:pPr>
      <w:tabs>
        <w:tab w:val="center" w:pos="4680"/>
        <w:tab w:val="right" w:pos="9360"/>
      </w:tabs>
      <w:spacing w:line="240" w:lineRule="auto"/>
    </w:pPr>
  </w:style>
  <w:style w:type="character" w:customStyle="1" w:styleId="FooterChar">
    <w:name w:val="Footer Char"/>
    <w:basedOn w:val="DefaultParagraphFont"/>
    <w:link w:val="Footer"/>
    <w:uiPriority w:val="99"/>
    <w:rsid w:val="001B61D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7959">
      <w:bodyDiv w:val="1"/>
      <w:marLeft w:val="0"/>
      <w:marRight w:val="0"/>
      <w:marTop w:val="0"/>
      <w:marBottom w:val="0"/>
      <w:divBdr>
        <w:top w:val="none" w:sz="0" w:space="0" w:color="auto"/>
        <w:left w:val="none" w:sz="0" w:space="0" w:color="auto"/>
        <w:bottom w:val="none" w:sz="0" w:space="0" w:color="auto"/>
        <w:right w:val="none" w:sz="0" w:space="0" w:color="auto"/>
      </w:divBdr>
      <w:divsChild>
        <w:div w:id="1145732922">
          <w:marLeft w:val="0"/>
          <w:marRight w:val="0"/>
          <w:marTop w:val="0"/>
          <w:marBottom w:val="0"/>
          <w:divBdr>
            <w:top w:val="none" w:sz="0" w:space="0" w:color="auto"/>
            <w:left w:val="none" w:sz="0" w:space="0" w:color="auto"/>
            <w:bottom w:val="none" w:sz="0" w:space="0" w:color="auto"/>
            <w:right w:val="none" w:sz="0" w:space="0" w:color="auto"/>
          </w:divBdr>
          <w:divsChild>
            <w:div w:id="622075628">
              <w:marLeft w:val="0"/>
              <w:marRight w:val="0"/>
              <w:marTop w:val="0"/>
              <w:marBottom w:val="0"/>
              <w:divBdr>
                <w:top w:val="none" w:sz="0" w:space="0" w:color="auto"/>
                <w:left w:val="none" w:sz="0" w:space="0" w:color="auto"/>
                <w:bottom w:val="none" w:sz="0" w:space="0" w:color="auto"/>
                <w:right w:val="none" w:sz="0" w:space="0" w:color="auto"/>
              </w:divBdr>
              <w:divsChild>
                <w:div w:id="14203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5570">
      <w:bodyDiv w:val="1"/>
      <w:marLeft w:val="0"/>
      <w:marRight w:val="0"/>
      <w:marTop w:val="0"/>
      <w:marBottom w:val="0"/>
      <w:divBdr>
        <w:top w:val="none" w:sz="0" w:space="0" w:color="auto"/>
        <w:left w:val="none" w:sz="0" w:space="0" w:color="auto"/>
        <w:bottom w:val="none" w:sz="0" w:space="0" w:color="auto"/>
        <w:right w:val="none" w:sz="0" w:space="0" w:color="auto"/>
      </w:divBdr>
      <w:divsChild>
        <w:div w:id="950282843">
          <w:marLeft w:val="0"/>
          <w:marRight w:val="0"/>
          <w:marTop w:val="0"/>
          <w:marBottom w:val="0"/>
          <w:divBdr>
            <w:top w:val="none" w:sz="0" w:space="0" w:color="auto"/>
            <w:left w:val="none" w:sz="0" w:space="0" w:color="auto"/>
            <w:bottom w:val="none" w:sz="0" w:space="0" w:color="auto"/>
            <w:right w:val="none" w:sz="0" w:space="0" w:color="auto"/>
          </w:divBdr>
          <w:divsChild>
            <w:div w:id="1423794481">
              <w:marLeft w:val="0"/>
              <w:marRight w:val="0"/>
              <w:marTop w:val="0"/>
              <w:marBottom w:val="0"/>
              <w:divBdr>
                <w:top w:val="none" w:sz="0" w:space="0" w:color="auto"/>
                <w:left w:val="none" w:sz="0" w:space="0" w:color="auto"/>
                <w:bottom w:val="none" w:sz="0" w:space="0" w:color="auto"/>
                <w:right w:val="none" w:sz="0" w:space="0" w:color="auto"/>
              </w:divBdr>
              <w:divsChild>
                <w:div w:id="4687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5513">
      <w:bodyDiv w:val="1"/>
      <w:marLeft w:val="0"/>
      <w:marRight w:val="0"/>
      <w:marTop w:val="0"/>
      <w:marBottom w:val="0"/>
      <w:divBdr>
        <w:top w:val="none" w:sz="0" w:space="0" w:color="auto"/>
        <w:left w:val="none" w:sz="0" w:space="0" w:color="auto"/>
        <w:bottom w:val="none" w:sz="0" w:space="0" w:color="auto"/>
        <w:right w:val="none" w:sz="0" w:space="0" w:color="auto"/>
      </w:divBdr>
      <w:divsChild>
        <w:div w:id="1425035060">
          <w:marLeft w:val="0"/>
          <w:marRight w:val="0"/>
          <w:marTop w:val="0"/>
          <w:marBottom w:val="0"/>
          <w:divBdr>
            <w:top w:val="none" w:sz="0" w:space="0" w:color="auto"/>
            <w:left w:val="none" w:sz="0" w:space="0" w:color="auto"/>
            <w:bottom w:val="none" w:sz="0" w:space="0" w:color="auto"/>
            <w:right w:val="none" w:sz="0" w:space="0" w:color="auto"/>
          </w:divBdr>
          <w:divsChild>
            <w:div w:id="65425479">
              <w:marLeft w:val="0"/>
              <w:marRight w:val="0"/>
              <w:marTop w:val="0"/>
              <w:marBottom w:val="0"/>
              <w:divBdr>
                <w:top w:val="none" w:sz="0" w:space="0" w:color="auto"/>
                <w:left w:val="none" w:sz="0" w:space="0" w:color="auto"/>
                <w:bottom w:val="none" w:sz="0" w:space="0" w:color="auto"/>
                <w:right w:val="none" w:sz="0" w:space="0" w:color="auto"/>
              </w:divBdr>
              <w:divsChild>
                <w:div w:id="4382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7215">
      <w:bodyDiv w:val="1"/>
      <w:marLeft w:val="0"/>
      <w:marRight w:val="0"/>
      <w:marTop w:val="0"/>
      <w:marBottom w:val="0"/>
      <w:divBdr>
        <w:top w:val="none" w:sz="0" w:space="0" w:color="auto"/>
        <w:left w:val="none" w:sz="0" w:space="0" w:color="auto"/>
        <w:bottom w:val="none" w:sz="0" w:space="0" w:color="auto"/>
        <w:right w:val="none" w:sz="0" w:space="0" w:color="auto"/>
      </w:divBdr>
      <w:divsChild>
        <w:div w:id="135873891">
          <w:marLeft w:val="0"/>
          <w:marRight w:val="0"/>
          <w:marTop w:val="0"/>
          <w:marBottom w:val="0"/>
          <w:divBdr>
            <w:top w:val="none" w:sz="0" w:space="0" w:color="auto"/>
            <w:left w:val="none" w:sz="0" w:space="0" w:color="auto"/>
            <w:bottom w:val="none" w:sz="0" w:space="0" w:color="auto"/>
            <w:right w:val="none" w:sz="0" w:space="0" w:color="auto"/>
          </w:divBdr>
          <w:divsChild>
            <w:div w:id="1159925821">
              <w:marLeft w:val="0"/>
              <w:marRight w:val="0"/>
              <w:marTop w:val="0"/>
              <w:marBottom w:val="0"/>
              <w:divBdr>
                <w:top w:val="none" w:sz="0" w:space="0" w:color="auto"/>
                <w:left w:val="none" w:sz="0" w:space="0" w:color="auto"/>
                <w:bottom w:val="none" w:sz="0" w:space="0" w:color="auto"/>
                <w:right w:val="none" w:sz="0" w:space="0" w:color="auto"/>
              </w:divBdr>
              <w:divsChild>
                <w:div w:id="18804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4103">
      <w:bodyDiv w:val="1"/>
      <w:marLeft w:val="0"/>
      <w:marRight w:val="0"/>
      <w:marTop w:val="0"/>
      <w:marBottom w:val="0"/>
      <w:divBdr>
        <w:top w:val="none" w:sz="0" w:space="0" w:color="auto"/>
        <w:left w:val="none" w:sz="0" w:space="0" w:color="auto"/>
        <w:bottom w:val="none" w:sz="0" w:space="0" w:color="auto"/>
        <w:right w:val="none" w:sz="0" w:space="0" w:color="auto"/>
      </w:divBdr>
      <w:divsChild>
        <w:div w:id="1896088266">
          <w:marLeft w:val="0"/>
          <w:marRight w:val="0"/>
          <w:marTop w:val="0"/>
          <w:marBottom w:val="0"/>
          <w:divBdr>
            <w:top w:val="none" w:sz="0" w:space="0" w:color="auto"/>
            <w:left w:val="none" w:sz="0" w:space="0" w:color="auto"/>
            <w:bottom w:val="none" w:sz="0" w:space="0" w:color="auto"/>
            <w:right w:val="none" w:sz="0" w:space="0" w:color="auto"/>
          </w:divBdr>
          <w:divsChild>
            <w:div w:id="4291956">
              <w:marLeft w:val="0"/>
              <w:marRight w:val="0"/>
              <w:marTop w:val="0"/>
              <w:marBottom w:val="0"/>
              <w:divBdr>
                <w:top w:val="none" w:sz="0" w:space="0" w:color="auto"/>
                <w:left w:val="none" w:sz="0" w:space="0" w:color="auto"/>
                <w:bottom w:val="none" w:sz="0" w:space="0" w:color="auto"/>
                <w:right w:val="none" w:sz="0" w:space="0" w:color="auto"/>
              </w:divBdr>
              <w:divsChild>
                <w:div w:id="8949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01170">
      <w:bodyDiv w:val="1"/>
      <w:marLeft w:val="0"/>
      <w:marRight w:val="0"/>
      <w:marTop w:val="0"/>
      <w:marBottom w:val="0"/>
      <w:divBdr>
        <w:top w:val="none" w:sz="0" w:space="0" w:color="auto"/>
        <w:left w:val="none" w:sz="0" w:space="0" w:color="auto"/>
        <w:bottom w:val="none" w:sz="0" w:space="0" w:color="auto"/>
        <w:right w:val="none" w:sz="0" w:space="0" w:color="auto"/>
      </w:divBdr>
      <w:divsChild>
        <w:div w:id="1998996415">
          <w:marLeft w:val="0"/>
          <w:marRight w:val="0"/>
          <w:marTop w:val="0"/>
          <w:marBottom w:val="0"/>
          <w:divBdr>
            <w:top w:val="none" w:sz="0" w:space="0" w:color="auto"/>
            <w:left w:val="none" w:sz="0" w:space="0" w:color="auto"/>
            <w:bottom w:val="none" w:sz="0" w:space="0" w:color="auto"/>
            <w:right w:val="none" w:sz="0" w:space="0" w:color="auto"/>
          </w:divBdr>
          <w:divsChild>
            <w:div w:id="316886568">
              <w:marLeft w:val="0"/>
              <w:marRight w:val="0"/>
              <w:marTop w:val="0"/>
              <w:marBottom w:val="0"/>
              <w:divBdr>
                <w:top w:val="none" w:sz="0" w:space="0" w:color="auto"/>
                <w:left w:val="none" w:sz="0" w:space="0" w:color="auto"/>
                <w:bottom w:val="none" w:sz="0" w:space="0" w:color="auto"/>
                <w:right w:val="none" w:sz="0" w:space="0" w:color="auto"/>
              </w:divBdr>
              <w:divsChild>
                <w:div w:id="15235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59956">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sChild>
        <w:div w:id="139156977">
          <w:marLeft w:val="0"/>
          <w:marRight w:val="0"/>
          <w:marTop w:val="0"/>
          <w:marBottom w:val="0"/>
          <w:divBdr>
            <w:top w:val="none" w:sz="0" w:space="0" w:color="auto"/>
            <w:left w:val="none" w:sz="0" w:space="0" w:color="auto"/>
            <w:bottom w:val="none" w:sz="0" w:space="0" w:color="auto"/>
            <w:right w:val="none" w:sz="0" w:space="0" w:color="auto"/>
          </w:divBdr>
          <w:divsChild>
            <w:div w:id="43067849">
              <w:marLeft w:val="0"/>
              <w:marRight w:val="0"/>
              <w:marTop w:val="0"/>
              <w:marBottom w:val="0"/>
              <w:divBdr>
                <w:top w:val="none" w:sz="0" w:space="0" w:color="auto"/>
                <w:left w:val="none" w:sz="0" w:space="0" w:color="auto"/>
                <w:bottom w:val="none" w:sz="0" w:space="0" w:color="auto"/>
                <w:right w:val="none" w:sz="0" w:space="0" w:color="auto"/>
              </w:divBdr>
              <w:divsChild>
                <w:div w:id="6706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5068">
      <w:bodyDiv w:val="1"/>
      <w:marLeft w:val="0"/>
      <w:marRight w:val="0"/>
      <w:marTop w:val="0"/>
      <w:marBottom w:val="0"/>
      <w:divBdr>
        <w:top w:val="none" w:sz="0" w:space="0" w:color="auto"/>
        <w:left w:val="none" w:sz="0" w:space="0" w:color="auto"/>
        <w:bottom w:val="none" w:sz="0" w:space="0" w:color="auto"/>
        <w:right w:val="none" w:sz="0" w:space="0" w:color="auto"/>
      </w:divBdr>
      <w:divsChild>
        <w:div w:id="860125977">
          <w:marLeft w:val="0"/>
          <w:marRight w:val="0"/>
          <w:marTop w:val="0"/>
          <w:marBottom w:val="0"/>
          <w:divBdr>
            <w:top w:val="none" w:sz="0" w:space="0" w:color="auto"/>
            <w:left w:val="none" w:sz="0" w:space="0" w:color="auto"/>
            <w:bottom w:val="none" w:sz="0" w:space="0" w:color="auto"/>
            <w:right w:val="none" w:sz="0" w:space="0" w:color="auto"/>
          </w:divBdr>
          <w:divsChild>
            <w:div w:id="1208251478">
              <w:marLeft w:val="0"/>
              <w:marRight w:val="0"/>
              <w:marTop w:val="0"/>
              <w:marBottom w:val="0"/>
              <w:divBdr>
                <w:top w:val="none" w:sz="0" w:space="0" w:color="auto"/>
                <w:left w:val="none" w:sz="0" w:space="0" w:color="auto"/>
                <w:bottom w:val="none" w:sz="0" w:space="0" w:color="auto"/>
                <w:right w:val="none" w:sz="0" w:space="0" w:color="auto"/>
              </w:divBdr>
              <w:divsChild>
                <w:div w:id="16812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333318">
      <w:bodyDiv w:val="1"/>
      <w:marLeft w:val="0"/>
      <w:marRight w:val="0"/>
      <w:marTop w:val="0"/>
      <w:marBottom w:val="0"/>
      <w:divBdr>
        <w:top w:val="none" w:sz="0" w:space="0" w:color="auto"/>
        <w:left w:val="none" w:sz="0" w:space="0" w:color="auto"/>
        <w:bottom w:val="none" w:sz="0" w:space="0" w:color="auto"/>
        <w:right w:val="none" w:sz="0" w:space="0" w:color="auto"/>
      </w:divBdr>
      <w:divsChild>
        <w:div w:id="1953315388">
          <w:marLeft w:val="0"/>
          <w:marRight w:val="0"/>
          <w:marTop w:val="0"/>
          <w:marBottom w:val="0"/>
          <w:divBdr>
            <w:top w:val="none" w:sz="0" w:space="0" w:color="auto"/>
            <w:left w:val="none" w:sz="0" w:space="0" w:color="auto"/>
            <w:bottom w:val="none" w:sz="0" w:space="0" w:color="auto"/>
            <w:right w:val="none" w:sz="0" w:space="0" w:color="auto"/>
          </w:divBdr>
          <w:divsChild>
            <w:div w:id="312611871">
              <w:marLeft w:val="0"/>
              <w:marRight w:val="0"/>
              <w:marTop w:val="0"/>
              <w:marBottom w:val="0"/>
              <w:divBdr>
                <w:top w:val="none" w:sz="0" w:space="0" w:color="auto"/>
                <w:left w:val="none" w:sz="0" w:space="0" w:color="auto"/>
                <w:bottom w:val="none" w:sz="0" w:space="0" w:color="auto"/>
                <w:right w:val="none" w:sz="0" w:space="0" w:color="auto"/>
              </w:divBdr>
              <w:divsChild>
                <w:div w:id="16846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72661">
      <w:bodyDiv w:val="1"/>
      <w:marLeft w:val="0"/>
      <w:marRight w:val="0"/>
      <w:marTop w:val="0"/>
      <w:marBottom w:val="0"/>
      <w:divBdr>
        <w:top w:val="none" w:sz="0" w:space="0" w:color="auto"/>
        <w:left w:val="none" w:sz="0" w:space="0" w:color="auto"/>
        <w:bottom w:val="none" w:sz="0" w:space="0" w:color="auto"/>
        <w:right w:val="none" w:sz="0" w:space="0" w:color="auto"/>
      </w:divBdr>
      <w:divsChild>
        <w:div w:id="1732919528">
          <w:marLeft w:val="0"/>
          <w:marRight w:val="0"/>
          <w:marTop w:val="0"/>
          <w:marBottom w:val="0"/>
          <w:divBdr>
            <w:top w:val="none" w:sz="0" w:space="0" w:color="auto"/>
            <w:left w:val="none" w:sz="0" w:space="0" w:color="auto"/>
            <w:bottom w:val="none" w:sz="0" w:space="0" w:color="auto"/>
            <w:right w:val="none" w:sz="0" w:space="0" w:color="auto"/>
          </w:divBdr>
          <w:divsChild>
            <w:div w:id="1959264258">
              <w:marLeft w:val="0"/>
              <w:marRight w:val="0"/>
              <w:marTop w:val="0"/>
              <w:marBottom w:val="0"/>
              <w:divBdr>
                <w:top w:val="none" w:sz="0" w:space="0" w:color="auto"/>
                <w:left w:val="none" w:sz="0" w:space="0" w:color="auto"/>
                <w:bottom w:val="none" w:sz="0" w:space="0" w:color="auto"/>
                <w:right w:val="none" w:sz="0" w:space="0" w:color="auto"/>
              </w:divBdr>
              <w:divsChild>
                <w:div w:id="16071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74015">
      <w:bodyDiv w:val="1"/>
      <w:marLeft w:val="0"/>
      <w:marRight w:val="0"/>
      <w:marTop w:val="0"/>
      <w:marBottom w:val="0"/>
      <w:divBdr>
        <w:top w:val="none" w:sz="0" w:space="0" w:color="auto"/>
        <w:left w:val="none" w:sz="0" w:space="0" w:color="auto"/>
        <w:bottom w:val="none" w:sz="0" w:space="0" w:color="auto"/>
        <w:right w:val="none" w:sz="0" w:space="0" w:color="auto"/>
      </w:divBdr>
      <w:divsChild>
        <w:div w:id="790125131">
          <w:marLeft w:val="0"/>
          <w:marRight w:val="0"/>
          <w:marTop w:val="0"/>
          <w:marBottom w:val="0"/>
          <w:divBdr>
            <w:top w:val="none" w:sz="0" w:space="0" w:color="auto"/>
            <w:left w:val="none" w:sz="0" w:space="0" w:color="auto"/>
            <w:bottom w:val="none" w:sz="0" w:space="0" w:color="auto"/>
            <w:right w:val="none" w:sz="0" w:space="0" w:color="auto"/>
          </w:divBdr>
          <w:divsChild>
            <w:div w:id="726951677">
              <w:marLeft w:val="0"/>
              <w:marRight w:val="0"/>
              <w:marTop w:val="0"/>
              <w:marBottom w:val="0"/>
              <w:divBdr>
                <w:top w:val="none" w:sz="0" w:space="0" w:color="auto"/>
                <w:left w:val="none" w:sz="0" w:space="0" w:color="auto"/>
                <w:bottom w:val="none" w:sz="0" w:space="0" w:color="auto"/>
                <w:right w:val="none" w:sz="0" w:space="0" w:color="auto"/>
              </w:divBdr>
              <w:divsChild>
                <w:div w:id="42022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1156">
      <w:bodyDiv w:val="1"/>
      <w:marLeft w:val="0"/>
      <w:marRight w:val="0"/>
      <w:marTop w:val="0"/>
      <w:marBottom w:val="0"/>
      <w:divBdr>
        <w:top w:val="none" w:sz="0" w:space="0" w:color="auto"/>
        <w:left w:val="none" w:sz="0" w:space="0" w:color="auto"/>
        <w:bottom w:val="none" w:sz="0" w:space="0" w:color="auto"/>
        <w:right w:val="none" w:sz="0" w:space="0" w:color="auto"/>
      </w:divBdr>
      <w:divsChild>
        <w:div w:id="1248425369">
          <w:marLeft w:val="0"/>
          <w:marRight w:val="0"/>
          <w:marTop w:val="0"/>
          <w:marBottom w:val="0"/>
          <w:divBdr>
            <w:top w:val="none" w:sz="0" w:space="0" w:color="auto"/>
            <w:left w:val="none" w:sz="0" w:space="0" w:color="auto"/>
            <w:bottom w:val="none" w:sz="0" w:space="0" w:color="auto"/>
            <w:right w:val="none" w:sz="0" w:space="0" w:color="auto"/>
          </w:divBdr>
          <w:divsChild>
            <w:div w:id="1597515961">
              <w:marLeft w:val="0"/>
              <w:marRight w:val="0"/>
              <w:marTop w:val="0"/>
              <w:marBottom w:val="0"/>
              <w:divBdr>
                <w:top w:val="none" w:sz="0" w:space="0" w:color="auto"/>
                <w:left w:val="none" w:sz="0" w:space="0" w:color="auto"/>
                <w:bottom w:val="none" w:sz="0" w:space="0" w:color="auto"/>
                <w:right w:val="none" w:sz="0" w:space="0" w:color="auto"/>
              </w:divBdr>
              <w:divsChild>
                <w:div w:id="244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35595">
      <w:bodyDiv w:val="1"/>
      <w:marLeft w:val="0"/>
      <w:marRight w:val="0"/>
      <w:marTop w:val="0"/>
      <w:marBottom w:val="0"/>
      <w:divBdr>
        <w:top w:val="none" w:sz="0" w:space="0" w:color="auto"/>
        <w:left w:val="none" w:sz="0" w:space="0" w:color="auto"/>
        <w:bottom w:val="none" w:sz="0" w:space="0" w:color="auto"/>
        <w:right w:val="none" w:sz="0" w:space="0" w:color="auto"/>
      </w:divBdr>
    </w:div>
    <w:div w:id="658922099">
      <w:bodyDiv w:val="1"/>
      <w:marLeft w:val="0"/>
      <w:marRight w:val="0"/>
      <w:marTop w:val="0"/>
      <w:marBottom w:val="0"/>
      <w:divBdr>
        <w:top w:val="none" w:sz="0" w:space="0" w:color="auto"/>
        <w:left w:val="none" w:sz="0" w:space="0" w:color="auto"/>
        <w:bottom w:val="none" w:sz="0" w:space="0" w:color="auto"/>
        <w:right w:val="none" w:sz="0" w:space="0" w:color="auto"/>
      </w:divBdr>
      <w:divsChild>
        <w:div w:id="1885483132">
          <w:marLeft w:val="0"/>
          <w:marRight w:val="0"/>
          <w:marTop w:val="0"/>
          <w:marBottom w:val="0"/>
          <w:divBdr>
            <w:top w:val="none" w:sz="0" w:space="0" w:color="auto"/>
            <w:left w:val="none" w:sz="0" w:space="0" w:color="auto"/>
            <w:bottom w:val="none" w:sz="0" w:space="0" w:color="auto"/>
            <w:right w:val="none" w:sz="0" w:space="0" w:color="auto"/>
          </w:divBdr>
          <w:divsChild>
            <w:div w:id="1664551569">
              <w:marLeft w:val="0"/>
              <w:marRight w:val="0"/>
              <w:marTop w:val="0"/>
              <w:marBottom w:val="0"/>
              <w:divBdr>
                <w:top w:val="none" w:sz="0" w:space="0" w:color="auto"/>
                <w:left w:val="none" w:sz="0" w:space="0" w:color="auto"/>
                <w:bottom w:val="none" w:sz="0" w:space="0" w:color="auto"/>
                <w:right w:val="none" w:sz="0" w:space="0" w:color="auto"/>
              </w:divBdr>
              <w:divsChild>
                <w:div w:id="16043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12445">
      <w:bodyDiv w:val="1"/>
      <w:marLeft w:val="0"/>
      <w:marRight w:val="0"/>
      <w:marTop w:val="0"/>
      <w:marBottom w:val="0"/>
      <w:divBdr>
        <w:top w:val="none" w:sz="0" w:space="0" w:color="auto"/>
        <w:left w:val="none" w:sz="0" w:space="0" w:color="auto"/>
        <w:bottom w:val="none" w:sz="0" w:space="0" w:color="auto"/>
        <w:right w:val="none" w:sz="0" w:space="0" w:color="auto"/>
      </w:divBdr>
      <w:divsChild>
        <w:div w:id="1005133914">
          <w:marLeft w:val="0"/>
          <w:marRight w:val="0"/>
          <w:marTop w:val="0"/>
          <w:marBottom w:val="0"/>
          <w:divBdr>
            <w:top w:val="none" w:sz="0" w:space="0" w:color="auto"/>
            <w:left w:val="none" w:sz="0" w:space="0" w:color="auto"/>
            <w:bottom w:val="none" w:sz="0" w:space="0" w:color="auto"/>
            <w:right w:val="none" w:sz="0" w:space="0" w:color="auto"/>
          </w:divBdr>
          <w:divsChild>
            <w:div w:id="1750997622">
              <w:marLeft w:val="0"/>
              <w:marRight w:val="0"/>
              <w:marTop w:val="0"/>
              <w:marBottom w:val="0"/>
              <w:divBdr>
                <w:top w:val="none" w:sz="0" w:space="0" w:color="auto"/>
                <w:left w:val="none" w:sz="0" w:space="0" w:color="auto"/>
                <w:bottom w:val="none" w:sz="0" w:space="0" w:color="auto"/>
                <w:right w:val="none" w:sz="0" w:space="0" w:color="auto"/>
              </w:divBdr>
              <w:divsChild>
                <w:div w:id="19512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4851">
      <w:bodyDiv w:val="1"/>
      <w:marLeft w:val="0"/>
      <w:marRight w:val="0"/>
      <w:marTop w:val="0"/>
      <w:marBottom w:val="0"/>
      <w:divBdr>
        <w:top w:val="none" w:sz="0" w:space="0" w:color="auto"/>
        <w:left w:val="none" w:sz="0" w:space="0" w:color="auto"/>
        <w:bottom w:val="none" w:sz="0" w:space="0" w:color="auto"/>
        <w:right w:val="none" w:sz="0" w:space="0" w:color="auto"/>
      </w:divBdr>
      <w:divsChild>
        <w:div w:id="1925332257">
          <w:marLeft w:val="0"/>
          <w:marRight w:val="0"/>
          <w:marTop w:val="0"/>
          <w:marBottom w:val="0"/>
          <w:divBdr>
            <w:top w:val="none" w:sz="0" w:space="0" w:color="auto"/>
            <w:left w:val="none" w:sz="0" w:space="0" w:color="auto"/>
            <w:bottom w:val="none" w:sz="0" w:space="0" w:color="auto"/>
            <w:right w:val="none" w:sz="0" w:space="0" w:color="auto"/>
          </w:divBdr>
          <w:divsChild>
            <w:div w:id="1850832410">
              <w:marLeft w:val="0"/>
              <w:marRight w:val="0"/>
              <w:marTop w:val="0"/>
              <w:marBottom w:val="0"/>
              <w:divBdr>
                <w:top w:val="none" w:sz="0" w:space="0" w:color="auto"/>
                <w:left w:val="none" w:sz="0" w:space="0" w:color="auto"/>
                <w:bottom w:val="none" w:sz="0" w:space="0" w:color="auto"/>
                <w:right w:val="none" w:sz="0" w:space="0" w:color="auto"/>
              </w:divBdr>
              <w:divsChild>
                <w:div w:id="1574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7478">
      <w:bodyDiv w:val="1"/>
      <w:marLeft w:val="0"/>
      <w:marRight w:val="0"/>
      <w:marTop w:val="0"/>
      <w:marBottom w:val="0"/>
      <w:divBdr>
        <w:top w:val="none" w:sz="0" w:space="0" w:color="auto"/>
        <w:left w:val="none" w:sz="0" w:space="0" w:color="auto"/>
        <w:bottom w:val="none" w:sz="0" w:space="0" w:color="auto"/>
        <w:right w:val="none" w:sz="0" w:space="0" w:color="auto"/>
      </w:divBdr>
      <w:divsChild>
        <w:div w:id="1868978540">
          <w:marLeft w:val="0"/>
          <w:marRight w:val="0"/>
          <w:marTop w:val="0"/>
          <w:marBottom w:val="0"/>
          <w:divBdr>
            <w:top w:val="none" w:sz="0" w:space="0" w:color="auto"/>
            <w:left w:val="none" w:sz="0" w:space="0" w:color="auto"/>
            <w:bottom w:val="none" w:sz="0" w:space="0" w:color="auto"/>
            <w:right w:val="none" w:sz="0" w:space="0" w:color="auto"/>
          </w:divBdr>
          <w:divsChild>
            <w:div w:id="45417101">
              <w:marLeft w:val="0"/>
              <w:marRight w:val="0"/>
              <w:marTop w:val="0"/>
              <w:marBottom w:val="0"/>
              <w:divBdr>
                <w:top w:val="none" w:sz="0" w:space="0" w:color="auto"/>
                <w:left w:val="none" w:sz="0" w:space="0" w:color="auto"/>
                <w:bottom w:val="none" w:sz="0" w:space="0" w:color="auto"/>
                <w:right w:val="none" w:sz="0" w:space="0" w:color="auto"/>
              </w:divBdr>
              <w:divsChild>
                <w:div w:id="70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850882">
      <w:bodyDiv w:val="1"/>
      <w:marLeft w:val="0"/>
      <w:marRight w:val="0"/>
      <w:marTop w:val="0"/>
      <w:marBottom w:val="0"/>
      <w:divBdr>
        <w:top w:val="none" w:sz="0" w:space="0" w:color="auto"/>
        <w:left w:val="none" w:sz="0" w:space="0" w:color="auto"/>
        <w:bottom w:val="none" w:sz="0" w:space="0" w:color="auto"/>
        <w:right w:val="none" w:sz="0" w:space="0" w:color="auto"/>
      </w:divBdr>
      <w:divsChild>
        <w:div w:id="1468429992">
          <w:marLeft w:val="0"/>
          <w:marRight w:val="0"/>
          <w:marTop w:val="0"/>
          <w:marBottom w:val="0"/>
          <w:divBdr>
            <w:top w:val="none" w:sz="0" w:space="0" w:color="auto"/>
            <w:left w:val="none" w:sz="0" w:space="0" w:color="auto"/>
            <w:bottom w:val="none" w:sz="0" w:space="0" w:color="auto"/>
            <w:right w:val="none" w:sz="0" w:space="0" w:color="auto"/>
          </w:divBdr>
          <w:divsChild>
            <w:div w:id="1219823946">
              <w:marLeft w:val="0"/>
              <w:marRight w:val="0"/>
              <w:marTop w:val="0"/>
              <w:marBottom w:val="0"/>
              <w:divBdr>
                <w:top w:val="none" w:sz="0" w:space="0" w:color="auto"/>
                <w:left w:val="none" w:sz="0" w:space="0" w:color="auto"/>
                <w:bottom w:val="none" w:sz="0" w:space="0" w:color="auto"/>
                <w:right w:val="none" w:sz="0" w:space="0" w:color="auto"/>
              </w:divBdr>
              <w:divsChild>
                <w:div w:id="17850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11749">
      <w:bodyDiv w:val="1"/>
      <w:marLeft w:val="0"/>
      <w:marRight w:val="0"/>
      <w:marTop w:val="0"/>
      <w:marBottom w:val="0"/>
      <w:divBdr>
        <w:top w:val="none" w:sz="0" w:space="0" w:color="auto"/>
        <w:left w:val="none" w:sz="0" w:space="0" w:color="auto"/>
        <w:bottom w:val="none" w:sz="0" w:space="0" w:color="auto"/>
        <w:right w:val="none" w:sz="0" w:space="0" w:color="auto"/>
      </w:divBdr>
      <w:divsChild>
        <w:div w:id="2028749423">
          <w:marLeft w:val="0"/>
          <w:marRight w:val="0"/>
          <w:marTop w:val="0"/>
          <w:marBottom w:val="0"/>
          <w:divBdr>
            <w:top w:val="none" w:sz="0" w:space="0" w:color="auto"/>
            <w:left w:val="none" w:sz="0" w:space="0" w:color="auto"/>
            <w:bottom w:val="none" w:sz="0" w:space="0" w:color="auto"/>
            <w:right w:val="none" w:sz="0" w:space="0" w:color="auto"/>
          </w:divBdr>
          <w:divsChild>
            <w:div w:id="2014726185">
              <w:marLeft w:val="0"/>
              <w:marRight w:val="0"/>
              <w:marTop w:val="0"/>
              <w:marBottom w:val="0"/>
              <w:divBdr>
                <w:top w:val="none" w:sz="0" w:space="0" w:color="auto"/>
                <w:left w:val="none" w:sz="0" w:space="0" w:color="auto"/>
                <w:bottom w:val="none" w:sz="0" w:space="0" w:color="auto"/>
                <w:right w:val="none" w:sz="0" w:space="0" w:color="auto"/>
              </w:divBdr>
              <w:divsChild>
                <w:div w:id="747313345">
                  <w:marLeft w:val="0"/>
                  <w:marRight w:val="0"/>
                  <w:marTop w:val="0"/>
                  <w:marBottom w:val="0"/>
                  <w:divBdr>
                    <w:top w:val="none" w:sz="0" w:space="0" w:color="auto"/>
                    <w:left w:val="none" w:sz="0" w:space="0" w:color="auto"/>
                    <w:bottom w:val="none" w:sz="0" w:space="0" w:color="auto"/>
                    <w:right w:val="none" w:sz="0" w:space="0" w:color="auto"/>
                  </w:divBdr>
                  <w:divsChild>
                    <w:div w:id="1913394899">
                      <w:marLeft w:val="0"/>
                      <w:marRight w:val="0"/>
                      <w:marTop w:val="0"/>
                      <w:marBottom w:val="0"/>
                      <w:divBdr>
                        <w:top w:val="none" w:sz="0" w:space="0" w:color="auto"/>
                        <w:left w:val="none" w:sz="0" w:space="0" w:color="auto"/>
                        <w:bottom w:val="none" w:sz="0" w:space="0" w:color="auto"/>
                        <w:right w:val="none" w:sz="0" w:space="0" w:color="auto"/>
                      </w:divBdr>
                    </w:div>
                  </w:divsChild>
                </w:div>
                <w:div w:id="26106185">
                  <w:marLeft w:val="0"/>
                  <w:marRight w:val="0"/>
                  <w:marTop w:val="0"/>
                  <w:marBottom w:val="0"/>
                  <w:divBdr>
                    <w:top w:val="none" w:sz="0" w:space="0" w:color="auto"/>
                    <w:left w:val="none" w:sz="0" w:space="0" w:color="auto"/>
                    <w:bottom w:val="none" w:sz="0" w:space="0" w:color="auto"/>
                    <w:right w:val="none" w:sz="0" w:space="0" w:color="auto"/>
                  </w:divBdr>
                  <w:divsChild>
                    <w:div w:id="575482096">
                      <w:marLeft w:val="0"/>
                      <w:marRight w:val="0"/>
                      <w:marTop w:val="0"/>
                      <w:marBottom w:val="0"/>
                      <w:divBdr>
                        <w:top w:val="none" w:sz="0" w:space="0" w:color="auto"/>
                        <w:left w:val="none" w:sz="0" w:space="0" w:color="auto"/>
                        <w:bottom w:val="none" w:sz="0" w:space="0" w:color="auto"/>
                        <w:right w:val="none" w:sz="0" w:space="0" w:color="auto"/>
                      </w:divBdr>
                    </w:div>
                  </w:divsChild>
                </w:div>
                <w:div w:id="1912690791">
                  <w:marLeft w:val="0"/>
                  <w:marRight w:val="0"/>
                  <w:marTop w:val="0"/>
                  <w:marBottom w:val="0"/>
                  <w:divBdr>
                    <w:top w:val="none" w:sz="0" w:space="0" w:color="auto"/>
                    <w:left w:val="none" w:sz="0" w:space="0" w:color="auto"/>
                    <w:bottom w:val="none" w:sz="0" w:space="0" w:color="auto"/>
                    <w:right w:val="none" w:sz="0" w:space="0" w:color="auto"/>
                  </w:divBdr>
                  <w:divsChild>
                    <w:div w:id="1635137860">
                      <w:marLeft w:val="0"/>
                      <w:marRight w:val="0"/>
                      <w:marTop w:val="0"/>
                      <w:marBottom w:val="0"/>
                      <w:divBdr>
                        <w:top w:val="none" w:sz="0" w:space="0" w:color="auto"/>
                        <w:left w:val="none" w:sz="0" w:space="0" w:color="auto"/>
                        <w:bottom w:val="none" w:sz="0" w:space="0" w:color="auto"/>
                        <w:right w:val="none" w:sz="0" w:space="0" w:color="auto"/>
                      </w:divBdr>
                    </w:div>
                  </w:divsChild>
                </w:div>
                <w:div w:id="20743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65146">
      <w:bodyDiv w:val="1"/>
      <w:marLeft w:val="0"/>
      <w:marRight w:val="0"/>
      <w:marTop w:val="0"/>
      <w:marBottom w:val="0"/>
      <w:divBdr>
        <w:top w:val="none" w:sz="0" w:space="0" w:color="auto"/>
        <w:left w:val="none" w:sz="0" w:space="0" w:color="auto"/>
        <w:bottom w:val="none" w:sz="0" w:space="0" w:color="auto"/>
        <w:right w:val="none" w:sz="0" w:space="0" w:color="auto"/>
      </w:divBdr>
      <w:divsChild>
        <w:div w:id="1906526928">
          <w:marLeft w:val="0"/>
          <w:marRight w:val="0"/>
          <w:marTop w:val="0"/>
          <w:marBottom w:val="0"/>
          <w:divBdr>
            <w:top w:val="none" w:sz="0" w:space="0" w:color="auto"/>
            <w:left w:val="none" w:sz="0" w:space="0" w:color="auto"/>
            <w:bottom w:val="none" w:sz="0" w:space="0" w:color="auto"/>
            <w:right w:val="none" w:sz="0" w:space="0" w:color="auto"/>
          </w:divBdr>
          <w:divsChild>
            <w:div w:id="1842546318">
              <w:marLeft w:val="0"/>
              <w:marRight w:val="0"/>
              <w:marTop w:val="0"/>
              <w:marBottom w:val="0"/>
              <w:divBdr>
                <w:top w:val="none" w:sz="0" w:space="0" w:color="auto"/>
                <w:left w:val="none" w:sz="0" w:space="0" w:color="auto"/>
                <w:bottom w:val="none" w:sz="0" w:space="0" w:color="auto"/>
                <w:right w:val="none" w:sz="0" w:space="0" w:color="auto"/>
              </w:divBdr>
              <w:divsChild>
                <w:div w:id="15432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65067">
      <w:bodyDiv w:val="1"/>
      <w:marLeft w:val="0"/>
      <w:marRight w:val="0"/>
      <w:marTop w:val="0"/>
      <w:marBottom w:val="0"/>
      <w:divBdr>
        <w:top w:val="none" w:sz="0" w:space="0" w:color="auto"/>
        <w:left w:val="none" w:sz="0" w:space="0" w:color="auto"/>
        <w:bottom w:val="none" w:sz="0" w:space="0" w:color="auto"/>
        <w:right w:val="none" w:sz="0" w:space="0" w:color="auto"/>
      </w:divBdr>
      <w:divsChild>
        <w:div w:id="1434127352">
          <w:marLeft w:val="0"/>
          <w:marRight w:val="0"/>
          <w:marTop w:val="0"/>
          <w:marBottom w:val="0"/>
          <w:divBdr>
            <w:top w:val="none" w:sz="0" w:space="0" w:color="auto"/>
            <w:left w:val="none" w:sz="0" w:space="0" w:color="auto"/>
            <w:bottom w:val="none" w:sz="0" w:space="0" w:color="auto"/>
            <w:right w:val="none" w:sz="0" w:space="0" w:color="auto"/>
          </w:divBdr>
          <w:divsChild>
            <w:div w:id="730006660">
              <w:marLeft w:val="0"/>
              <w:marRight w:val="0"/>
              <w:marTop w:val="0"/>
              <w:marBottom w:val="0"/>
              <w:divBdr>
                <w:top w:val="none" w:sz="0" w:space="0" w:color="auto"/>
                <w:left w:val="none" w:sz="0" w:space="0" w:color="auto"/>
                <w:bottom w:val="none" w:sz="0" w:space="0" w:color="auto"/>
                <w:right w:val="none" w:sz="0" w:space="0" w:color="auto"/>
              </w:divBdr>
              <w:divsChild>
                <w:div w:id="13324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30579">
      <w:bodyDiv w:val="1"/>
      <w:marLeft w:val="0"/>
      <w:marRight w:val="0"/>
      <w:marTop w:val="0"/>
      <w:marBottom w:val="0"/>
      <w:divBdr>
        <w:top w:val="none" w:sz="0" w:space="0" w:color="auto"/>
        <w:left w:val="none" w:sz="0" w:space="0" w:color="auto"/>
        <w:bottom w:val="none" w:sz="0" w:space="0" w:color="auto"/>
        <w:right w:val="none" w:sz="0" w:space="0" w:color="auto"/>
      </w:divBdr>
      <w:divsChild>
        <w:div w:id="1861818575">
          <w:marLeft w:val="0"/>
          <w:marRight w:val="0"/>
          <w:marTop w:val="0"/>
          <w:marBottom w:val="0"/>
          <w:divBdr>
            <w:top w:val="none" w:sz="0" w:space="0" w:color="auto"/>
            <w:left w:val="none" w:sz="0" w:space="0" w:color="auto"/>
            <w:bottom w:val="none" w:sz="0" w:space="0" w:color="auto"/>
            <w:right w:val="none" w:sz="0" w:space="0" w:color="auto"/>
          </w:divBdr>
          <w:divsChild>
            <w:div w:id="1574193073">
              <w:marLeft w:val="0"/>
              <w:marRight w:val="0"/>
              <w:marTop w:val="0"/>
              <w:marBottom w:val="0"/>
              <w:divBdr>
                <w:top w:val="none" w:sz="0" w:space="0" w:color="auto"/>
                <w:left w:val="none" w:sz="0" w:space="0" w:color="auto"/>
                <w:bottom w:val="none" w:sz="0" w:space="0" w:color="auto"/>
                <w:right w:val="none" w:sz="0" w:space="0" w:color="auto"/>
              </w:divBdr>
              <w:divsChild>
                <w:div w:id="20961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96328">
      <w:bodyDiv w:val="1"/>
      <w:marLeft w:val="0"/>
      <w:marRight w:val="0"/>
      <w:marTop w:val="0"/>
      <w:marBottom w:val="0"/>
      <w:divBdr>
        <w:top w:val="none" w:sz="0" w:space="0" w:color="auto"/>
        <w:left w:val="none" w:sz="0" w:space="0" w:color="auto"/>
        <w:bottom w:val="none" w:sz="0" w:space="0" w:color="auto"/>
        <w:right w:val="none" w:sz="0" w:space="0" w:color="auto"/>
      </w:divBdr>
      <w:divsChild>
        <w:div w:id="553944">
          <w:marLeft w:val="0"/>
          <w:marRight w:val="0"/>
          <w:marTop w:val="0"/>
          <w:marBottom w:val="0"/>
          <w:divBdr>
            <w:top w:val="none" w:sz="0" w:space="0" w:color="auto"/>
            <w:left w:val="none" w:sz="0" w:space="0" w:color="auto"/>
            <w:bottom w:val="none" w:sz="0" w:space="0" w:color="auto"/>
            <w:right w:val="none" w:sz="0" w:space="0" w:color="auto"/>
          </w:divBdr>
          <w:divsChild>
            <w:div w:id="908685196">
              <w:marLeft w:val="0"/>
              <w:marRight w:val="0"/>
              <w:marTop w:val="0"/>
              <w:marBottom w:val="0"/>
              <w:divBdr>
                <w:top w:val="none" w:sz="0" w:space="0" w:color="auto"/>
                <w:left w:val="none" w:sz="0" w:space="0" w:color="auto"/>
                <w:bottom w:val="none" w:sz="0" w:space="0" w:color="auto"/>
                <w:right w:val="none" w:sz="0" w:space="0" w:color="auto"/>
              </w:divBdr>
              <w:divsChild>
                <w:div w:id="71454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81430">
      <w:bodyDiv w:val="1"/>
      <w:marLeft w:val="0"/>
      <w:marRight w:val="0"/>
      <w:marTop w:val="0"/>
      <w:marBottom w:val="0"/>
      <w:divBdr>
        <w:top w:val="none" w:sz="0" w:space="0" w:color="auto"/>
        <w:left w:val="none" w:sz="0" w:space="0" w:color="auto"/>
        <w:bottom w:val="none" w:sz="0" w:space="0" w:color="auto"/>
        <w:right w:val="none" w:sz="0" w:space="0" w:color="auto"/>
      </w:divBdr>
    </w:div>
    <w:div w:id="1234706287">
      <w:bodyDiv w:val="1"/>
      <w:marLeft w:val="0"/>
      <w:marRight w:val="0"/>
      <w:marTop w:val="0"/>
      <w:marBottom w:val="0"/>
      <w:divBdr>
        <w:top w:val="none" w:sz="0" w:space="0" w:color="auto"/>
        <w:left w:val="none" w:sz="0" w:space="0" w:color="auto"/>
        <w:bottom w:val="none" w:sz="0" w:space="0" w:color="auto"/>
        <w:right w:val="none" w:sz="0" w:space="0" w:color="auto"/>
      </w:divBdr>
      <w:divsChild>
        <w:div w:id="876159097">
          <w:marLeft w:val="0"/>
          <w:marRight w:val="0"/>
          <w:marTop w:val="0"/>
          <w:marBottom w:val="0"/>
          <w:divBdr>
            <w:top w:val="none" w:sz="0" w:space="0" w:color="auto"/>
            <w:left w:val="none" w:sz="0" w:space="0" w:color="auto"/>
            <w:bottom w:val="none" w:sz="0" w:space="0" w:color="auto"/>
            <w:right w:val="none" w:sz="0" w:space="0" w:color="auto"/>
          </w:divBdr>
          <w:divsChild>
            <w:div w:id="54594665">
              <w:marLeft w:val="0"/>
              <w:marRight w:val="0"/>
              <w:marTop w:val="0"/>
              <w:marBottom w:val="0"/>
              <w:divBdr>
                <w:top w:val="none" w:sz="0" w:space="0" w:color="auto"/>
                <w:left w:val="none" w:sz="0" w:space="0" w:color="auto"/>
                <w:bottom w:val="none" w:sz="0" w:space="0" w:color="auto"/>
                <w:right w:val="none" w:sz="0" w:space="0" w:color="auto"/>
              </w:divBdr>
              <w:divsChild>
                <w:div w:id="21395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6389">
      <w:bodyDiv w:val="1"/>
      <w:marLeft w:val="0"/>
      <w:marRight w:val="0"/>
      <w:marTop w:val="0"/>
      <w:marBottom w:val="0"/>
      <w:divBdr>
        <w:top w:val="none" w:sz="0" w:space="0" w:color="auto"/>
        <w:left w:val="none" w:sz="0" w:space="0" w:color="auto"/>
        <w:bottom w:val="none" w:sz="0" w:space="0" w:color="auto"/>
        <w:right w:val="none" w:sz="0" w:space="0" w:color="auto"/>
      </w:divBdr>
      <w:divsChild>
        <w:div w:id="1374227359">
          <w:marLeft w:val="0"/>
          <w:marRight w:val="0"/>
          <w:marTop w:val="0"/>
          <w:marBottom w:val="0"/>
          <w:divBdr>
            <w:top w:val="none" w:sz="0" w:space="0" w:color="auto"/>
            <w:left w:val="none" w:sz="0" w:space="0" w:color="auto"/>
            <w:bottom w:val="none" w:sz="0" w:space="0" w:color="auto"/>
            <w:right w:val="none" w:sz="0" w:space="0" w:color="auto"/>
          </w:divBdr>
          <w:divsChild>
            <w:div w:id="2001427598">
              <w:marLeft w:val="0"/>
              <w:marRight w:val="0"/>
              <w:marTop w:val="0"/>
              <w:marBottom w:val="0"/>
              <w:divBdr>
                <w:top w:val="none" w:sz="0" w:space="0" w:color="auto"/>
                <w:left w:val="none" w:sz="0" w:space="0" w:color="auto"/>
                <w:bottom w:val="none" w:sz="0" w:space="0" w:color="auto"/>
                <w:right w:val="none" w:sz="0" w:space="0" w:color="auto"/>
              </w:divBdr>
              <w:divsChild>
                <w:div w:id="5629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4527">
      <w:bodyDiv w:val="1"/>
      <w:marLeft w:val="0"/>
      <w:marRight w:val="0"/>
      <w:marTop w:val="0"/>
      <w:marBottom w:val="0"/>
      <w:divBdr>
        <w:top w:val="none" w:sz="0" w:space="0" w:color="auto"/>
        <w:left w:val="none" w:sz="0" w:space="0" w:color="auto"/>
        <w:bottom w:val="none" w:sz="0" w:space="0" w:color="auto"/>
        <w:right w:val="none" w:sz="0" w:space="0" w:color="auto"/>
      </w:divBdr>
      <w:divsChild>
        <w:div w:id="433480046">
          <w:marLeft w:val="0"/>
          <w:marRight w:val="0"/>
          <w:marTop w:val="0"/>
          <w:marBottom w:val="0"/>
          <w:divBdr>
            <w:top w:val="none" w:sz="0" w:space="0" w:color="auto"/>
            <w:left w:val="none" w:sz="0" w:space="0" w:color="auto"/>
            <w:bottom w:val="none" w:sz="0" w:space="0" w:color="auto"/>
            <w:right w:val="none" w:sz="0" w:space="0" w:color="auto"/>
          </w:divBdr>
          <w:divsChild>
            <w:div w:id="657420470">
              <w:marLeft w:val="0"/>
              <w:marRight w:val="0"/>
              <w:marTop w:val="0"/>
              <w:marBottom w:val="0"/>
              <w:divBdr>
                <w:top w:val="none" w:sz="0" w:space="0" w:color="auto"/>
                <w:left w:val="none" w:sz="0" w:space="0" w:color="auto"/>
                <w:bottom w:val="none" w:sz="0" w:space="0" w:color="auto"/>
                <w:right w:val="none" w:sz="0" w:space="0" w:color="auto"/>
              </w:divBdr>
              <w:divsChild>
                <w:div w:id="6519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5140">
      <w:bodyDiv w:val="1"/>
      <w:marLeft w:val="0"/>
      <w:marRight w:val="0"/>
      <w:marTop w:val="0"/>
      <w:marBottom w:val="0"/>
      <w:divBdr>
        <w:top w:val="none" w:sz="0" w:space="0" w:color="auto"/>
        <w:left w:val="none" w:sz="0" w:space="0" w:color="auto"/>
        <w:bottom w:val="none" w:sz="0" w:space="0" w:color="auto"/>
        <w:right w:val="none" w:sz="0" w:space="0" w:color="auto"/>
      </w:divBdr>
      <w:divsChild>
        <w:div w:id="1044790722">
          <w:marLeft w:val="0"/>
          <w:marRight w:val="0"/>
          <w:marTop w:val="0"/>
          <w:marBottom w:val="0"/>
          <w:divBdr>
            <w:top w:val="none" w:sz="0" w:space="0" w:color="auto"/>
            <w:left w:val="none" w:sz="0" w:space="0" w:color="auto"/>
            <w:bottom w:val="none" w:sz="0" w:space="0" w:color="auto"/>
            <w:right w:val="none" w:sz="0" w:space="0" w:color="auto"/>
          </w:divBdr>
          <w:divsChild>
            <w:div w:id="1520895685">
              <w:marLeft w:val="0"/>
              <w:marRight w:val="0"/>
              <w:marTop w:val="0"/>
              <w:marBottom w:val="0"/>
              <w:divBdr>
                <w:top w:val="none" w:sz="0" w:space="0" w:color="auto"/>
                <w:left w:val="none" w:sz="0" w:space="0" w:color="auto"/>
                <w:bottom w:val="none" w:sz="0" w:space="0" w:color="auto"/>
                <w:right w:val="none" w:sz="0" w:space="0" w:color="auto"/>
              </w:divBdr>
              <w:divsChild>
                <w:div w:id="10145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14463">
      <w:bodyDiv w:val="1"/>
      <w:marLeft w:val="0"/>
      <w:marRight w:val="0"/>
      <w:marTop w:val="0"/>
      <w:marBottom w:val="0"/>
      <w:divBdr>
        <w:top w:val="none" w:sz="0" w:space="0" w:color="auto"/>
        <w:left w:val="none" w:sz="0" w:space="0" w:color="auto"/>
        <w:bottom w:val="none" w:sz="0" w:space="0" w:color="auto"/>
        <w:right w:val="none" w:sz="0" w:space="0" w:color="auto"/>
      </w:divBdr>
      <w:divsChild>
        <w:div w:id="722825489">
          <w:marLeft w:val="0"/>
          <w:marRight w:val="0"/>
          <w:marTop w:val="0"/>
          <w:marBottom w:val="0"/>
          <w:divBdr>
            <w:top w:val="none" w:sz="0" w:space="0" w:color="auto"/>
            <w:left w:val="none" w:sz="0" w:space="0" w:color="auto"/>
            <w:bottom w:val="none" w:sz="0" w:space="0" w:color="auto"/>
            <w:right w:val="none" w:sz="0" w:space="0" w:color="auto"/>
          </w:divBdr>
          <w:divsChild>
            <w:div w:id="2025859109">
              <w:marLeft w:val="0"/>
              <w:marRight w:val="0"/>
              <w:marTop w:val="0"/>
              <w:marBottom w:val="0"/>
              <w:divBdr>
                <w:top w:val="none" w:sz="0" w:space="0" w:color="auto"/>
                <w:left w:val="none" w:sz="0" w:space="0" w:color="auto"/>
                <w:bottom w:val="none" w:sz="0" w:space="0" w:color="auto"/>
                <w:right w:val="none" w:sz="0" w:space="0" w:color="auto"/>
              </w:divBdr>
              <w:divsChild>
                <w:div w:id="114835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87865">
      <w:bodyDiv w:val="1"/>
      <w:marLeft w:val="0"/>
      <w:marRight w:val="0"/>
      <w:marTop w:val="0"/>
      <w:marBottom w:val="0"/>
      <w:divBdr>
        <w:top w:val="none" w:sz="0" w:space="0" w:color="auto"/>
        <w:left w:val="none" w:sz="0" w:space="0" w:color="auto"/>
        <w:bottom w:val="none" w:sz="0" w:space="0" w:color="auto"/>
        <w:right w:val="none" w:sz="0" w:space="0" w:color="auto"/>
      </w:divBdr>
      <w:divsChild>
        <w:div w:id="1792090587">
          <w:marLeft w:val="0"/>
          <w:marRight w:val="0"/>
          <w:marTop w:val="0"/>
          <w:marBottom w:val="0"/>
          <w:divBdr>
            <w:top w:val="none" w:sz="0" w:space="0" w:color="auto"/>
            <w:left w:val="none" w:sz="0" w:space="0" w:color="auto"/>
            <w:bottom w:val="none" w:sz="0" w:space="0" w:color="auto"/>
            <w:right w:val="none" w:sz="0" w:space="0" w:color="auto"/>
          </w:divBdr>
          <w:divsChild>
            <w:div w:id="2111201339">
              <w:marLeft w:val="0"/>
              <w:marRight w:val="0"/>
              <w:marTop w:val="0"/>
              <w:marBottom w:val="0"/>
              <w:divBdr>
                <w:top w:val="none" w:sz="0" w:space="0" w:color="auto"/>
                <w:left w:val="none" w:sz="0" w:space="0" w:color="auto"/>
                <w:bottom w:val="none" w:sz="0" w:space="0" w:color="auto"/>
                <w:right w:val="none" w:sz="0" w:space="0" w:color="auto"/>
              </w:divBdr>
              <w:divsChild>
                <w:div w:id="20978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5844">
      <w:bodyDiv w:val="1"/>
      <w:marLeft w:val="0"/>
      <w:marRight w:val="0"/>
      <w:marTop w:val="0"/>
      <w:marBottom w:val="0"/>
      <w:divBdr>
        <w:top w:val="none" w:sz="0" w:space="0" w:color="auto"/>
        <w:left w:val="none" w:sz="0" w:space="0" w:color="auto"/>
        <w:bottom w:val="none" w:sz="0" w:space="0" w:color="auto"/>
        <w:right w:val="none" w:sz="0" w:space="0" w:color="auto"/>
      </w:divBdr>
      <w:divsChild>
        <w:div w:id="1076324538">
          <w:marLeft w:val="0"/>
          <w:marRight w:val="0"/>
          <w:marTop w:val="0"/>
          <w:marBottom w:val="0"/>
          <w:divBdr>
            <w:top w:val="none" w:sz="0" w:space="0" w:color="auto"/>
            <w:left w:val="none" w:sz="0" w:space="0" w:color="auto"/>
            <w:bottom w:val="none" w:sz="0" w:space="0" w:color="auto"/>
            <w:right w:val="none" w:sz="0" w:space="0" w:color="auto"/>
          </w:divBdr>
          <w:divsChild>
            <w:div w:id="411851157">
              <w:marLeft w:val="0"/>
              <w:marRight w:val="0"/>
              <w:marTop w:val="0"/>
              <w:marBottom w:val="0"/>
              <w:divBdr>
                <w:top w:val="none" w:sz="0" w:space="0" w:color="auto"/>
                <w:left w:val="none" w:sz="0" w:space="0" w:color="auto"/>
                <w:bottom w:val="none" w:sz="0" w:space="0" w:color="auto"/>
                <w:right w:val="none" w:sz="0" w:space="0" w:color="auto"/>
              </w:divBdr>
              <w:divsChild>
                <w:div w:id="490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7370">
      <w:bodyDiv w:val="1"/>
      <w:marLeft w:val="0"/>
      <w:marRight w:val="0"/>
      <w:marTop w:val="0"/>
      <w:marBottom w:val="0"/>
      <w:divBdr>
        <w:top w:val="none" w:sz="0" w:space="0" w:color="auto"/>
        <w:left w:val="none" w:sz="0" w:space="0" w:color="auto"/>
        <w:bottom w:val="none" w:sz="0" w:space="0" w:color="auto"/>
        <w:right w:val="none" w:sz="0" w:space="0" w:color="auto"/>
      </w:divBdr>
      <w:divsChild>
        <w:div w:id="927545130">
          <w:marLeft w:val="0"/>
          <w:marRight w:val="0"/>
          <w:marTop w:val="0"/>
          <w:marBottom w:val="0"/>
          <w:divBdr>
            <w:top w:val="none" w:sz="0" w:space="0" w:color="auto"/>
            <w:left w:val="none" w:sz="0" w:space="0" w:color="auto"/>
            <w:bottom w:val="none" w:sz="0" w:space="0" w:color="auto"/>
            <w:right w:val="none" w:sz="0" w:space="0" w:color="auto"/>
          </w:divBdr>
          <w:divsChild>
            <w:div w:id="1196849409">
              <w:marLeft w:val="0"/>
              <w:marRight w:val="0"/>
              <w:marTop w:val="0"/>
              <w:marBottom w:val="0"/>
              <w:divBdr>
                <w:top w:val="none" w:sz="0" w:space="0" w:color="auto"/>
                <w:left w:val="none" w:sz="0" w:space="0" w:color="auto"/>
                <w:bottom w:val="none" w:sz="0" w:space="0" w:color="auto"/>
                <w:right w:val="none" w:sz="0" w:space="0" w:color="auto"/>
              </w:divBdr>
              <w:divsChild>
                <w:div w:id="12434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537447">
      <w:bodyDiv w:val="1"/>
      <w:marLeft w:val="0"/>
      <w:marRight w:val="0"/>
      <w:marTop w:val="0"/>
      <w:marBottom w:val="0"/>
      <w:divBdr>
        <w:top w:val="none" w:sz="0" w:space="0" w:color="auto"/>
        <w:left w:val="none" w:sz="0" w:space="0" w:color="auto"/>
        <w:bottom w:val="none" w:sz="0" w:space="0" w:color="auto"/>
        <w:right w:val="none" w:sz="0" w:space="0" w:color="auto"/>
      </w:divBdr>
      <w:divsChild>
        <w:div w:id="1362393476">
          <w:marLeft w:val="0"/>
          <w:marRight w:val="0"/>
          <w:marTop w:val="0"/>
          <w:marBottom w:val="0"/>
          <w:divBdr>
            <w:top w:val="none" w:sz="0" w:space="0" w:color="auto"/>
            <w:left w:val="none" w:sz="0" w:space="0" w:color="auto"/>
            <w:bottom w:val="none" w:sz="0" w:space="0" w:color="auto"/>
            <w:right w:val="none" w:sz="0" w:space="0" w:color="auto"/>
          </w:divBdr>
          <w:divsChild>
            <w:div w:id="112285350">
              <w:marLeft w:val="0"/>
              <w:marRight w:val="0"/>
              <w:marTop w:val="0"/>
              <w:marBottom w:val="0"/>
              <w:divBdr>
                <w:top w:val="none" w:sz="0" w:space="0" w:color="auto"/>
                <w:left w:val="none" w:sz="0" w:space="0" w:color="auto"/>
                <w:bottom w:val="none" w:sz="0" w:space="0" w:color="auto"/>
                <w:right w:val="none" w:sz="0" w:space="0" w:color="auto"/>
              </w:divBdr>
              <w:divsChild>
                <w:div w:id="4072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96579">
      <w:bodyDiv w:val="1"/>
      <w:marLeft w:val="0"/>
      <w:marRight w:val="0"/>
      <w:marTop w:val="0"/>
      <w:marBottom w:val="0"/>
      <w:divBdr>
        <w:top w:val="none" w:sz="0" w:space="0" w:color="auto"/>
        <w:left w:val="none" w:sz="0" w:space="0" w:color="auto"/>
        <w:bottom w:val="none" w:sz="0" w:space="0" w:color="auto"/>
        <w:right w:val="none" w:sz="0" w:space="0" w:color="auto"/>
      </w:divBdr>
      <w:divsChild>
        <w:div w:id="2115709234">
          <w:marLeft w:val="0"/>
          <w:marRight w:val="0"/>
          <w:marTop w:val="0"/>
          <w:marBottom w:val="0"/>
          <w:divBdr>
            <w:top w:val="none" w:sz="0" w:space="0" w:color="auto"/>
            <w:left w:val="none" w:sz="0" w:space="0" w:color="auto"/>
            <w:bottom w:val="none" w:sz="0" w:space="0" w:color="auto"/>
            <w:right w:val="none" w:sz="0" w:space="0" w:color="auto"/>
          </w:divBdr>
          <w:divsChild>
            <w:div w:id="1399330270">
              <w:marLeft w:val="0"/>
              <w:marRight w:val="0"/>
              <w:marTop w:val="0"/>
              <w:marBottom w:val="0"/>
              <w:divBdr>
                <w:top w:val="none" w:sz="0" w:space="0" w:color="auto"/>
                <w:left w:val="none" w:sz="0" w:space="0" w:color="auto"/>
                <w:bottom w:val="none" w:sz="0" w:space="0" w:color="auto"/>
                <w:right w:val="none" w:sz="0" w:space="0" w:color="auto"/>
              </w:divBdr>
              <w:divsChild>
                <w:div w:id="1881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00526">
      <w:bodyDiv w:val="1"/>
      <w:marLeft w:val="0"/>
      <w:marRight w:val="0"/>
      <w:marTop w:val="0"/>
      <w:marBottom w:val="0"/>
      <w:divBdr>
        <w:top w:val="none" w:sz="0" w:space="0" w:color="auto"/>
        <w:left w:val="none" w:sz="0" w:space="0" w:color="auto"/>
        <w:bottom w:val="none" w:sz="0" w:space="0" w:color="auto"/>
        <w:right w:val="none" w:sz="0" w:space="0" w:color="auto"/>
      </w:divBdr>
      <w:divsChild>
        <w:div w:id="1844542902">
          <w:marLeft w:val="0"/>
          <w:marRight w:val="0"/>
          <w:marTop w:val="0"/>
          <w:marBottom w:val="0"/>
          <w:divBdr>
            <w:top w:val="none" w:sz="0" w:space="0" w:color="auto"/>
            <w:left w:val="none" w:sz="0" w:space="0" w:color="auto"/>
            <w:bottom w:val="none" w:sz="0" w:space="0" w:color="auto"/>
            <w:right w:val="none" w:sz="0" w:space="0" w:color="auto"/>
          </w:divBdr>
          <w:divsChild>
            <w:div w:id="2088841396">
              <w:marLeft w:val="0"/>
              <w:marRight w:val="0"/>
              <w:marTop w:val="0"/>
              <w:marBottom w:val="0"/>
              <w:divBdr>
                <w:top w:val="none" w:sz="0" w:space="0" w:color="auto"/>
                <w:left w:val="none" w:sz="0" w:space="0" w:color="auto"/>
                <w:bottom w:val="none" w:sz="0" w:space="0" w:color="auto"/>
                <w:right w:val="none" w:sz="0" w:space="0" w:color="auto"/>
              </w:divBdr>
              <w:divsChild>
                <w:div w:id="1807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84460">
      <w:bodyDiv w:val="1"/>
      <w:marLeft w:val="0"/>
      <w:marRight w:val="0"/>
      <w:marTop w:val="0"/>
      <w:marBottom w:val="0"/>
      <w:divBdr>
        <w:top w:val="none" w:sz="0" w:space="0" w:color="auto"/>
        <w:left w:val="none" w:sz="0" w:space="0" w:color="auto"/>
        <w:bottom w:val="none" w:sz="0" w:space="0" w:color="auto"/>
        <w:right w:val="none" w:sz="0" w:space="0" w:color="auto"/>
      </w:divBdr>
      <w:divsChild>
        <w:div w:id="1892767206">
          <w:marLeft w:val="0"/>
          <w:marRight w:val="0"/>
          <w:marTop w:val="0"/>
          <w:marBottom w:val="0"/>
          <w:divBdr>
            <w:top w:val="none" w:sz="0" w:space="0" w:color="auto"/>
            <w:left w:val="none" w:sz="0" w:space="0" w:color="auto"/>
            <w:bottom w:val="none" w:sz="0" w:space="0" w:color="auto"/>
            <w:right w:val="none" w:sz="0" w:space="0" w:color="auto"/>
          </w:divBdr>
          <w:divsChild>
            <w:div w:id="124977318">
              <w:marLeft w:val="0"/>
              <w:marRight w:val="0"/>
              <w:marTop w:val="0"/>
              <w:marBottom w:val="0"/>
              <w:divBdr>
                <w:top w:val="none" w:sz="0" w:space="0" w:color="auto"/>
                <w:left w:val="none" w:sz="0" w:space="0" w:color="auto"/>
                <w:bottom w:val="none" w:sz="0" w:space="0" w:color="auto"/>
                <w:right w:val="none" w:sz="0" w:space="0" w:color="auto"/>
              </w:divBdr>
              <w:divsChild>
                <w:div w:id="55012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39320">
      <w:bodyDiv w:val="1"/>
      <w:marLeft w:val="0"/>
      <w:marRight w:val="0"/>
      <w:marTop w:val="0"/>
      <w:marBottom w:val="0"/>
      <w:divBdr>
        <w:top w:val="none" w:sz="0" w:space="0" w:color="auto"/>
        <w:left w:val="none" w:sz="0" w:space="0" w:color="auto"/>
        <w:bottom w:val="none" w:sz="0" w:space="0" w:color="auto"/>
        <w:right w:val="none" w:sz="0" w:space="0" w:color="auto"/>
      </w:divBdr>
      <w:divsChild>
        <w:div w:id="333385241">
          <w:marLeft w:val="0"/>
          <w:marRight w:val="0"/>
          <w:marTop w:val="0"/>
          <w:marBottom w:val="0"/>
          <w:divBdr>
            <w:top w:val="none" w:sz="0" w:space="0" w:color="auto"/>
            <w:left w:val="none" w:sz="0" w:space="0" w:color="auto"/>
            <w:bottom w:val="none" w:sz="0" w:space="0" w:color="auto"/>
            <w:right w:val="none" w:sz="0" w:space="0" w:color="auto"/>
          </w:divBdr>
          <w:divsChild>
            <w:div w:id="1902598294">
              <w:marLeft w:val="0"/>
              <w:marRight w:val="0"/>
              <w:marTop w:val="0"/>
              <w:marBottom w:val="0"/>
              <w:divBdr>
                <w:top w:val="none" w:sz="0" w:space="0" w:color="auto"/>
                <w:left w:val="none" w:sz="0" w:space="0" w:color="auto"/>
                <w:bottom w:val="none" w:sz="0" w:space="0" w:color="auto"/>
                <w:right w:val="none" w:sz="0" w:space="0" w:color="auto"/>
              </w:divBdr>
              <w:divsChild>
                <w:div w:id="15487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31775">
      <w:bodyDiv w:val="1"/>
      <w:marLeft w:val="0"/>
      <w:marRight w:val="0"/>
      <w:marTop w:val="0"/>
      <w:marBottom w:val="0"/>
      <w:divBdr>
        <w:top w:val="none" w:sz="0" w:space="0" w:color="auto"/>
        <w:left w:val="none" w:sz="0" w:space="0" w:color="auto"/>
        <w:bottom w:val="none" w:sz="0" w:space="0" w:color="auto"/>
        <w:right w:val="none" w:sz="0" w:space="0" w:color="auto"/>
      </w:divBdr>
      <w:divsChild>
        <w:div w:id="1637838205">
          <w:marLeft w:val="0"/>
          <w:marRight w:val="0"/>
          <w:marTop w:val="0"/>
          <w:marBottom w:val="0"/>
          <w:divBdr>
            <w:top w:val="none" w:sz="0" w:space="0" w:color="auto"/>
            <w:left w:val="none" w:sz="0" w:space="0" w:color="auto"/>
            <w:bottom w:val="none" w:sz="0" w:space="0" w:color="auto"/>
            <w:right w:val="none" w:sz="0" w:space="0" w:color="auto"/>
          </w:divBdr>
          <w:divsChild>
            <w:div w:id="556823586">
              <w:marLeft w:val="0"/>
              <w:marRight w:val="0"/>
              <w:marTop w:val="0"/>
              <w:marBottom w:val="0"/>
              <w:divBdr>
                <w:top w:val="none" w:sz="0" w:space="0" w:color="auto"/>
                <w:left w:val="none" w:sz="0" w:space="0" w:color="auto"/>
                <w:bottom w:val="none" w:sz="0" w:space="0" w:color="auto"/>
                <w:right w:val="none" w:sz="0" w:space="0" w:color="auto"/>
              </w:divBdr>
              <w:divsChild>
                <w:div w:id="16460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86344">
      <w:bodyDiv w:val="1"/>
      <w:marLeft w:val="0"/>
      <w:marRight w:val="0"/>
      <w:marTop w:val="0"/>
      <w:marBottom w:val="0"/>
      <w:divBdr>
        <w:top w:val="none" w:sz="0" w:space="0" w:color="auto"/>
        <w:left w:val="none" w:sz="0" w:space="0" w:color="auto"/>
        <w:bottom w:val="none" w:sz="0" w:space="0" w:color="auto"/>
        <w:right w:val="none" w:sz="0" w:space="0" w:color="auto"/>
      </w:divBdr>
      <w:divsChild>
        <w:div w:id="643506382">
          <w:marLeft w:val="0"/>
          <w:marRight w:val="0"/>
          <w:marTop w:val="0"/>
          <w:marBottom w:val="0"/>
          <w:divBdr>
            <w:top w:val="none" w:sz="0" w:space="0" w:color="auto"/>
            <w:left w:val="none" w:sz="0" w:space="0" w:color="auto"/>
            <w:bottom w:val="none" w:sz="0" w:space="0" w:color="auto"/>
            <w:right w:val="none" w:sz="0" w:space="0" w:color="auto"/>
          </w:divBdr>
          <w:divsChild>
            <w:div w:id="568419910">
              <w:marLeft w:val="0"/>
              <w:marRight w:val="0"/>
              <w:marTop w:val="0"/>
              <w:marBottom w:val="0"/>
              <w:divBdr>
                <w:top w:val="none" w:sz="0" w:space="0" w:color="auto"/>
                <w:left w:val="none" w:sz="0" w:space="0" w:color="auto"/>
                <w:bottom w:val="none" w:sz="0" w:space="0" w:color="auto"/>
                <w:right w:val="none" w:sz="0" w:space="0" w:color="auto"/>
              </w:divBdr>
              <w:divsChild>
                <w:div w:id="12960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4</cp:revision>
  <dcterms:created xsi:type="dcterms:W3CDTF">2020-12-07T16:48:00Z</dcterms:created>
  <dcterms:modified xsi:type="dcterms:W3CDTF">2020-12-20T22:30:00Z</dcterms:modified>
</cp:coreProperties>
</file>