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A74A" w14:textId="46E74BEE" w:rsidR="00D12E30" w:rsidRDefault="00D12E30" w:rsidP="00D42A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spacing w:line="276" w:lineRule="auto"/>
        <w:ind w:right="720"/>
        <w:jc w:val="both"/>
        <w:rPr>
          <w:b/>
          <w:bCs/>
          <w:sz w:val="28"/>
          <w:szCs w:val="28"/>
        </w:rPr>
      </w:pPr>
      <w:r w:rsidRPr="006B3082">
        <w:rPr>
          <w:sz w:val="28"/>
          <w:szCs w:val="28"/>
          <w:lang w:val="en-CA"/>
        </w:rPr>
        <w:fldChar w:fldCharType="begin"/>
      </w:r>
      <w:r w:rsidRPr="006B3082">
        <w:rPr>
          <w:sz w:val="28"/>
          <w:szCs w:val="28"/>
          <w:lang w:val="en-CA"/>
        </w:rPr>
        <w:instrText xml:space="preserve"> SEQ CHAPTER \h \r 1</w:instrText>
      </w:r>
      <w:r w:rsidRPr="006B3082">
        <w:rPr>
          <w:sz w:val="28"/>
          <w:szCs w:val="28"/>
          <w:lang w:val="en-CA"/>
        </w:rPr>
        <w:fldChar w:fldCharType="end"/>
      </w:r>
      <w:r w:rsidRPr="006B3082">
        <w:rPr>
          <w:b/>
          <w:bCs/>
          <w:sz w:val="28"/>
          <w:szCs w:val="28"/>
        </w:rPr>
        <w:t>6.0</w:t>
      </w:r>
      <w:r w:rsidR="003C7103">
        <w:rPr>
          <w:b/>
          <w:bCs/>
          <w:sz w:val="28"/>
          <w:szCs w:val="28"/>
        </w:rPr>
        <w:t>7</w:t>
      </w:r>
      <w:r w:rsidRPr="006B3082">
        <w:rPr>
          <w:b/>
          <w:bCs/>
          <w:sz w:val="28"/>
          <w:szCs w:val="28"/>
        </w:rPr>
        <w:t xml:space="preserve">. </w:t>
      </w:r>
      <w:r w:rsidR="00F536A1">
        <w:rPr>
          <w:b/>
          <w:bCs/>
          <w:sz w:val="28"/>
          <w:szCs w:val="28"/>
        </w:rPr>
        <w:t xml:space="preserve">Nonexpert Witness Limited to </w:t>
      </w:r>
      <w:r w:rsidRPr="006B3082">
        <w:rPr>
          <w:b/>
          <w:bCs/>
          <w:sz w:val="28"/>
          <w:szCs w:val="28"/>
        </w:rPr>
        <w:t>Personal Knowledg</w:t>
      </w:r>
      <w:r w:rsidR="005D2FAB">
        <w:rPr>
          <w:b/>
          <w:bCs/>
          <w:sz w:val="28"/>
          <w:szCs w:val="28"/>
        </w:rPr>
        <w:t>e Testimony</w:t>
      </w:r>
    </w:p>
    <w:p w14:paraId="11A7A74B" w14:textId="77777777" w:rsidR="006B3082" w:rsidRPr="006B3082" w:rsidRDefault="006B3082" w:rsidP="00D42A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spacing w:line="276" w:lineRule="auto"/>
        <w:ind w:right="720"/>
        <w:jc w:val="both"/>
        <w:rPr>
          <w:b/>
          <w:bCs/>
          <w:sz w:val="28"/>
          <w:szCs w:val="28"/>
        </w:rPr>
      </w:pPr>
    </w:p>
    <w:p w14:paraId="11A7A74C" w14:textId="77777777" w:rsidR="00D12E30" w:rsidRPr="006B3082" w:rsidRDefault="00D12E30" w:rsidP="00D42A5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spacing w:line="276" w:lineRule="auto"/>
        <w:ind w:left="720" w:right="720"/>
        <w:jc w:val="both"/>
        <w:rPr>
          <w:b/>
          <w:bCs/>
          <w:sz w:val="28"/>
          <w:szCs w:val="28"/>
        </w:rPr>
      </w:pPr>
      <w:r w:rsidRPr="006B3082">
        <w:rPr>
          <w:b/>
          <w:bCs/>
          <w:sz w:val="28"/>
          <w:szCs w:val="28"/>
        </w:rPr>
        <w:t>Except for an expert witness giving an expert opinion, a witness may testify to a matter only if the witness has personal knowledge of the matter. Personal knowledge is knowledge based on the exercise of the witness’s own senses. Evidence of a witness’s personal knowledge may be apparent from the testimony of the witness or may be attested to by the witness.</w:t>
      </w:r>
    </w:p>
    <w:p w14:paraId="11A7A74D" w14:textId="77777777" w:rsidR="00D12E30" w:rsidRPr="006B3082" w:rsidRDefault="00D12E30" w:rsidP="00D42A53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spacing w:line="276" w:lineRule="auto"/>
        <w:ind w:right="720"/>
        <w:jc w:val="both"/>
        <w:rPr>
          <w:b/>
          <w:bCs/>
          <w:sz w:val="28"/>
          <w:szCs w:val="28"/>
        </w:rPr>
      </w:pPr>
    </w:p>
    <w:p w14:paraId="11A7A74E" w14:textId="77777777" w:rsidR="00D12E30" w:rsidRPr="006B3082" w:rsidRDefault="00D12E30" w:rsidP="00D42A53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spacing w:line="276" w:lineRule="auto"/>
        <w:ind w:left="2880" w:firstLine="720"/>
        <w:jc w:val="both"/>
        <w:rPr>
          <w:b/>
          <w:bCs/>
          <w:sz w:val="24"/>
          <w:szCs w:val="24"/>
        </w:rPr>
      </w:pPr>
      <w:r w:rsidRPr="006B3082">
        <w:rPr>
          <w:b/>
          <w:bCs/>
          <w:sz w:val="24"/>
          <w:szCs w:val="24"/>
        </w:rPr>
        <w:t>Note</w:t>
      </w:r>
    </w:p>
    <w:p w14:paraId="11A7A74F" w14:textId="77777777" w:rsidR="006B3082" w:rsidRPr="006B3082" w:rsidRDefault="006B3082" w:rsidP="00D42A53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spacing w:line="276" w:lineRule="auto"/>
        <w:ind w:left="2880" w:hanging="2880"/>
        <w:jc w:val="both"/>
        <w:rPr>
          <w:b/>
          <w:bCs/>
          <w:sz w:val="24"/>
          <w:szCs w:val="24"/>
        </w:rPr>
      </w:pPr>
    </w:p>
    <w:p w14:paraId="11A7A750" w14:textId="77777777" w:rsidR="00D12E30" w:rsidRDefault="00D12E30" w:rsidP="00D42A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spacing w:line="276" w:lineRule="auto"/>
        <w:jc w:val="both"/>
        <w:rPr>
          <w:sz w:val="24"/>
          <w:szCs w:val="24"/>
        </w:rPr>
      </w:pPr>
      <w:r w:rsidRPr="006B3082">
        <w:rPr>
          <w:b/>
          <w:bCs/>
          <w:sz w:val="24"/>
          <w:szCs w:val="24"/>
        </w:rPr>
        <w:tab/>
      </w:r>
      <w:r w:rsidRPr="006B3082">
        <w:rPr>
          <w:sz w:val="24"/>
          <w:szCs w:val="24"/>
        </w:rPr>
        <w:t xml:space="preserve">This rule sets forth New York’s well settled law that a witness is incompetent to testify to a specific matter when the witness lacks personal knowledge of the matter. The definition of personal knowledge stated in the rule’s second sentence is drawn from </w:t>
      </w:r>
      <w:r w:rsidRPr="006B3082">
        <w:rPr>
          <w:i/>
          <w:iCs/>
          <w:sz w:val="24"/>
          <w:szCs w:val="24"/>
        </w:rPr>
        <w:t>Hallenbeck v Vogt</w:t>
      </w:r>
      <w:r w:rsidRPr="006B3082">
        <w:rPr>
          <w:sz w:val="24"/>
          <w:szCs w:val="24"/>
        </w:rPr>
        <w:t xml:space="preserve"> (9 AD2d 836 [3d Dept 1959]). </w:t>
      </w:r>
    </w:p>
    <w:p w14:paraId="11A7A751" w14:textId="77777777" w:rsidR="006B3082" w:rsidRPr="006B3082" w:rsidRDefault="006B3082" w:rsidP="00D42A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spacing w:line="276" w:lineRule="auto"/>
        <w:jc w:val="both"/>
        <w:rPr>
          <w:sz w:val="24"/>
          <w:szCs w:val="24"/>
        </w:rPr>
      </w:pPr>
    </w:p>
    <w:p w14:paraId="11A7A752" w14:textId="77777777" w:rsidR="00D12E30" w:rsidRDefault="006B3082" w:rsidP="00D42A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2E30" w:rsidRPr="006B3082">
        <w:rPr>
          <w:sz w:val="24"/>
          <w:szCs w:val="24"/>
        </w:rPr>
        <w:t>The rule’s first sentence is derived from decisions of the Court of Appeals and the Appellate Divisions and states a fundamental proposition of the law of evidence (</w:t>
      </w:r>
      <w:r w:rsidR="00D12E30" w:rsidRPr="006B3082">
        <w:rPr>
          <w:i/>
          <w:iCs/>
          <w:sz w:val="24"/>
          <w:szCs w:val="24"/>
        </w:rPr>
        <w:t>e.g. People v Regina</w:t>
      </w:r>
      <w:r w:rsidR="00D12E30" w:rsidRPr="006B3082">
        <w:rPr>
          <w:sz w:val="24"/>
          <w:szCs w:val="24"/>
        </w:rPr>
        <w:t xml:space="preserve">, 19 NY2d 65, 68-70 [1966] [witness’s testimony that he saw perpetrators during a five second time period fire two shots properly admitted]; </w:t>
      </w:r>
      <w:r w:rsidR="00D12E30" w:rsidRPr="006B3082">
        <w:rPr>
          <w:i/>
          <w:iCs/>
          <w:sz w:val="24"/>
          <w:szCs w:val="24"/>
        </w:rPr>
        <w:t>Senecal v Drollette</w:t>
      </w:r>
      <w:r w:rsidR="00D12E30" w:rsidRPr="006B3082">
        <w:rPr>
          <w:sz w:val="24"/>
          <w:szCs w:val="24"/>
        </w:rPr>
        <w:t xml:space="preserve">, 304 NY 446, 448-449 [1952] [witness’s testimony as to the make of the car that struck him should have been admitted as the witness said he “got a glance at it just before it hit him”]; </w:t>
      </w:r>
      <w:r w:rsidR="00D12E30" w:rsidRPr="006B3082">
        <w:rPr>
          <w:i/>
          <w:iCs/>
          <w:sz w:val="24"/>
          <w:szCs w:val="24"/>
        </w:rPr>
        <w:t>Matter of Rios v Selsky</w:t>
      </w:r>
      <w:r w:rsidR="00D12E30" w:rsidRPr="006B3082">
        <w:rPr>
          <w:sz w:val="24"/>
          <w:szCs w:val="24"/>
        </w:rPr>
        <w:t xml:space="preserve">, 32 AD3d 632, 633 [3d Dept 2006] [hearing officer properly denied request of respondent to call certain witnesses as the witnesses had no personal knowledge of the incident]; </w:t>
      </w:r>
      <w:r w:rsidR="00D12E30" w:rsidRPr="006B3082">
        <w:rPr>
          <w:i/>
          <w:iCs/>
          <w:sz w:val="24"/>
          <w:szCs w:val="24"/>
        </w:rPr>
        <w:t>Overseas Trust Bank v Poon</w:t>
      </w:r>
      <w:r w:rsidR="00D12E30" w:rsidRPr="003F201C">
        <w:rPr>
          <w:iCs/>
          <w:sz w:val="24"/>
          <w:szCs w:val="24"/>
        </w:rPr>
        <w:t>,</w:t>
      </w:r>
      <w:r w:rsidR="00D12E30" w:rsidRPr="006B3082">
        <w:rPr>
          <w:sz w:val="24"/>
          <w:szCs w:val="24"/>
        </w:rPr>
        <w:t xml:space="preserve"> 181 AD2d 762, 763 [2d Dept 1992] [testimony of husband concerning wife’s overseas trips during a relevant time period properly excluded as it was “clear” the husband lacked personal knowledge]). </w:t>
      </w:r>
    </w:p>
    <w:p w14:paraId="11A7A753" w14:textId="77777777" w:rsidR="006B3082" w:rsidRPr="006B3082" w:rsidRDefault="006B3082" w:rsidP="00D42A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spacing w:line="276" w:lineRule="auto"/>
        <w:jc w:val="both"/>
        <w:rPr>
          <w:sz w:val="24"/>
          <w:szCs w:val="24"/>
        </w:rPr>
      </w:pPr>
    </w:p>
    <w:p w14:paraId="11A7A754" w14:textId="77777777" w:rsidR="00D12E30" w:rsidRDefault="006B3082" w:rsidP="00D42A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2E30" w:rsidRPr="006B3082">
        <w:rPr>
          <w:sz w:val="24"/>
          <w:szCs w:val="24"/>
        </w:rPr>
        <w:t xml:space="preserve">The trial court is charged with making the determination of whether the witness has personal knowledge. In essence, this rule of personal knowledge is an application of </w:t>
      </w:r>
      <w:r w:rsidR="006363F3">
        <w:rPr>
          <w:sz w:val="24"/>
          <w:szCs w:val="24"/>
        </w:rPr>
        <w:t xml:space="preserve">Guide to New York Evidence </w:t>
      </w:r>
      <w:r w:rsidR="00D12E30" w:rsidRPr="006B3082">
        <w:rPr>
          <w:sz w:val="24"/>
          <w:szCs w:val="24"/>
        </w:rPr>
        <w:t>rule</w:t>
      </w:r>
      <w:r w:rsidR="006363F3">
        <w:rPr>
          <w:sz w:val="24"/>
          <w:szCs w:val="24"/>
        </w:rPr>
        <w:t>s</w:t>
      </w:r>
      <w:r w:rsidR="00D12E30" w:rsidRPr="006B3082">
        <w:rPr>
          <w:sz w:val="24"/>
          <w:szCs w:val="24"/>
        </w:rPr>
        <w:t xml:space="preserve"> 4.01 (</w:t>
      </w:r>
      <w:r w:rsidR="006363F3">
        <w:rPr>
          <w:sz w:val="24"/>
          <w:szCs w:val="24"/>
        </w:rPr>
        <w:t>R</w:t>
      </w:r>
      <w:r w:rsidR="00D12E30" w:rsidRPr="006B3082">
        <w:rPr>
          <w:sz w:val="24"/>
          <w:szCs w:val="24"/>
        </w:rPr>
        <w:t>elevan</w:t>
      </w:r>
      <w:r w:rsidR="006363F3">
        <w:rPr>
          <w:sz w:val="24"/>
          <w:szCs w:val="24"/>
        </w:rPr>
        <w:t>t Eviden</w:t>
      </w:r>
      <w:r w:rsidR="00D12E30" w:rsidRPr="006B3082">
        <w:rPr>
          <w:sz w:val="24"/>
          <w:szCs w:val="24"/>
        </w:rPr>
        <w:t>ce) and 4.05 (</w:t>
      </w:r>
      <w:r w:rsidR="006363F3">
        <w:rPr>
          <w:sz w:val="24"/>
          <w:szCs w:val="24"/>
        </w:rPr>
        <w:t>C</w:t>
      </w:r>
      <w:r w:rsidR="00D12E30" w:rsidRPr="006B3082">
        <w:rPr>
          <w:sz w:val="24"/>
          <w:szCs w:val="24"/>
        </w:rPr>
        <w:t xml:space="preserve">onditional </w:t>
      </w:r>
      <w:r w:rsidR="006363F3">
        <w:rPr>
          <w:sz w:val="24"/>
          <w:szCs w:val="24"/>
        </w:rPr>
        <w:t>R</w:t>
      </w:r>
      <w:r w:rsidR="00D12E30" w:rsidRPr="006B3082">
        <w:rPr>
          <w:sz w:val="24"/>
          <w:szCs w:val="24"/>
        </w:rPr>
        <w:t>elevance).</w:t>
      </w:r>
    </w:p>
    <w:p w14:paraId="11A7A755" w14:textId="77777777" w:rsidR="006B3082" w:rsidRPr="006B3082" w:rsidRDefault="006B3082" w:rsidP="00D42A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spacing w:line="276" w:lineRule="auto"/>
        <w:jc w:val="both"/>
        <w:rPr>
          <w:sz w:val="24"/>
          <w:szCs w:val="24"/>
        </w:rPr>
      </w:pPr>
    </w:p>
    <w:p w14:paraId="11A7A756" w14:textId="77777777" w:rsidR="00D12E30" w:rsidRDefault="006B3082" w:rsidP="00D42A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2E30" w:rsidRPr="006B3082">
        <w:rPr>
          <w:sz w:val="24"/>
          <w:szCs w:val="24"/>
        </w:rPr>
        <w:t xml:space="preserve">The rule’s third sentence is derived from </w:t>
      </w:r>
      <w:r w:rsidR="00D12E30" w:rsidRPr="006B3082">
        <w:rPr>
          <w:i/>
          <w:iCs/>
          <w:sz w:val="24"/>
          <w:szCs w:val="24"/>
        </w:rPr>
        <w:t>Regina</w:t>
      </w:r>
      <w:r w:rsidR="00D12E30" w:rsidRPr="006B3082">
        <w:rPr>
          <w:sz w:val="24"/>
          <w:szCs w:val="24"/>
        </w:rPr>
        <w:t xml:space="preserve"> (19 NY2d at 68-70) and </w:t>
      </w:r>
      <w:r w:rsidR="00D12E30" w:rsidRPr="006B3082">
        <w:rPr>
          <w:i/>
          <w:iCs/>
          <w:sz w:val="24"/>
          <w:szCs w:val="24"/>
        </w:rPr>
        <w:t>Senecal</w:t>
      </w:r>
      <w:r w:rsidR="00D12E30" w:rsidRPr="006B3082">
        <w:rPr>
          <w:sz w:val="24"/>
          <w:szCs w:val="24"/>
        </w:rPr>
        <w:t xml:space="preserve"> (304 NY at 448-449).</w:t>
      </w:r>
    </w:p>
    <w:p w14:paraId="11A7A757" w14:textId="77777777" w:rsidR="006B3082" w:rsidRPr="006B3082" w:rsidRDefault="006B3082" w:rsidP="00D42A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spacing w:line="276" w:lineRule="auto"/>
        <w:jc w:val="both"/>
        <w:rPr>
          <w:sz w:val="24"/>
          <w:szCs w:val="24"/>
        </w:rPr>
      </w:pPr>
    </w:p>
    <w:p w14:paraId="11A7A758" w14:textId="77777777" w:rsidR="00D12E30" w:rsidRDefault="006B3082" w:rsidP="00D42A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12E30" w:rsidRPr="006B3082">
        <w:rPr>
          <w:sz w:val="24"/>
          <w:szCs w:val="24"/>
        </w:rPr>
        <w:t xml:space="preserve">The expert witness exception is derived from </w:t>
      </w:r>
      <w:r w:rsidR="00D12E30" w:rsidRPr="006B3082">
        <w:rPr>
          <w:i/>
          <w:iCs/>
          <w:sz w:val="24"/>
          <w:szCs w:val="24"/>
        </w:rPr>
        <w:t>Cassano v Hagstrom</w:t>
      </w:r>
      <w:r w:rsidR="00D12E30" w:rsidRPr="006B3082">
        <w:rPr>
          <w:sz w:val="24"/>
          <w:szCs w:val="24"/>
        </w:rPr>
        <w:t xml:space="preserve"> (5 NY2d 643, 646 [1959] [expert opinion may be based on the expert’s personal knowledge or upon facts in evidence made known to the expert]) and </w:t>
      </w:r>
      <w:r w:rsidR="00D12E30" w:rsidRPr="006B3082">
        <w:rPr>
          <w:i/>
          <w:iCs/>
          <w:sz w:val="24"/>
          <w:szCs w:val="24"/>
        </w:rPr>
        <w:t>Hambsch v New York City Tr. Auth.</w:t>
      </w:r>
      <w:r w:rsidR="00D12E30" w:rsidRPr="006B3082">
        <w:rPr>
          <w:sz w:val="24"/>
          <w:szCs w:val="24"/>
        </w:rPr>
        <w:t xml:space="preserve"> (63 NY2d 723, 726 [1984] [expert opinion can be based in part on inadmissible evidence if it is “of a kind accepted in the profession as reliable in forming a professional opinion” and the evidence is established to be reliable]). </w:t>
      </w:r>
    </w:p>
    <w:p w14:paraId="11A7A759" w14:textId="77777777" w:rsidR="006B3082" w:rsidRPr="006B3082" w:rsidRDefault="006B3082" w:rsidP="00D42A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spacing w:line="276" w:lineRule="auto"/>
        <w:jc w:val="both"/>
        <w:rPr>
          <w:sz w:val="24"/>
          <w:szCs w:val="24"/>
        </w:rPr>
      </w:pPr>
    </w:p>
    <w:p w14:paraId="11A7A75A" w14:textId="77777777" w:rsidR="00D12E30" w:rsidRPr="006B3082" w:rsidRDefault="006B3082" w:rsidP="00D42A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2E30" w:rsidRPr="006B3082">
        <w:rPr>
          <w:sz w:val="24"/>
          <w:szCs w:val="24"/>
        </w:rPr>
        <w:t>It must also be noted that the rule’s requirement of personal knowledge does not prohibit a witness from testifying to an out-of-court statement that is not barred by the hearsay rules set forth in article 8 of this Guide, provided the witness heard or read the statement. In such circumstances, the witness has the requisite personal knowledge of the “matter,” i.e., the out-of-court statement.</w:t>
      </w:r>
    </w:p>
    <w:sectPr w:rsidR="00D12E30" w:rsidRPr="006B3082" w:rsidSect="00EF2F6B">
      <w:footerReference w:type="default" r:id="rId6"/>
      <w:type w:val="continuous"/>
      <w:pgSz w:w="12240" w:h="15840"/>
      <w:pgMar w:top="1440" w:right="2160" w:bottom="1440" w:left="216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B7A8" w14:textId="77777777" w:rsidR="004F1310" w:rsidRDefault="004F1310" w:rsidP="00EF2F6B">
      <w:r>
        <w:separator/>
      </w:r>
    </w:p>
  </w:endnote>
  <w:endnote w:type="continuationSeparator" w:id="0">
    <w:p w14:paraId="6434E607" w14:textId="77777777" w:rsidR="004F1310" w:rsidRDefault="004F1310" w:rsidP="00EF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A75F" w14:textId="77777777" w:rsidR="00EF2F6B" w:rsidRDefault="00EF2F6B" w:rsidP="00EF2F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2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7391" w14:textId="77777777" w:rsidR="004F1310" w:rsidRDefault="004F1310" w:rsidP="00EF2F6B">
      <w:r>
        <w:separator/>
      </w:r>
    </w:p>
  </w:footnote>
  <w:footnote w:type="continuationSeparator" w:id="0">
    <w:p w14:paraId="221ABA67" w14:textId="77777777" w:rsidR="004F1310" w:rsidRDefault="004F1310" w:rsidP="00EF2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hyphenationZone w:val="40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82"/>
    <w:rsid w:val="003C7103"/>
    <w:rsid w:val="003F201C"/>
    <w:rsid w:val="004F1310"/>
    <w:rsid w:val="005D2FAB"/>
    <w:rsid w:val="006363F3"/>
    <w:rsid w:val="006442A9"/>
    <w:rsid w:val="006B3082"/>
    <w:rsid w:val="00B835D9"/>
    <w:rsid w:val="00D12E30"/>
    <w:rsid w:val="00D42A53"/>
    <w:rsid w:val="00E10EC2"/>
    <w:rsid w:val="00E80E90"/>
    <w:rsid w:val="00ED34F1"/>
    <w:rsid w:val="00EF2F6B"/>
    <w:rsid w:val="00F5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7A74A"/>
  <w14:defaultImageDpi w14:val="0"/>
  <w15:docId w15:val="{C936D1B1-99A8-47E1-9B46-CA4CB8E5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2F6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2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2F6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2431</Characters>
  <Application>Microsoft Office Word</Application>
  <DocSecurity>0</DocSecurity>
  <Lines>51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Whiteman</dc:creator>
  <cp:keywords/>
  <dc:description/>
  <cp:lastModifiedBy>Hon. William Donnino</cp:lastModifiedBy>
  <cp:revision>8</cp:revision>
  <cp:lastPrinted>2021-05-20T05:49:00Z</cp:lastPrinted>
  <dcterms:created xsi:type="dcterms:W3CDTF">2018-02-26T20:50:00Z</dcterms:created>
  <dcterms:modified xsi:type="dcterms:W3CDTF">2021-05-20T05:49:00Z</dcterms:modified>
</cp:coreProperties>
</file>