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ACA85" w14:textId="19138705" w:rsidR="00C97E62" w:rsidRPr="00FA0766" w:rsidRDefault="00C97E62" w:rsidP="00FA0766">
      <w:pPr>
        <w:spacing w:line="276" w:lineRule="auto"/>
        <w:ind w:right="1377"/>
        <w:jc w:val="both"/>
        <w:rPr>
          <w:rFonts w:ascii="Times New Roman" w:hAnsi="Times New Roman" w:cs="Times New Roman"/>
          <w:b/>
          <w:bCs/>
          <w:sz w:val="28"/>
          <w:szCs w:val="28"/>
        </w:rPr>
      </w:pPr>
      <w:r w:rsidRPr="00FA0766">
        <w:rPr>
          <w:rFonts w:ascii="Times New Roman" w:hAnsi="Times New Roman" w:cs="Times New Roman"/>
          <w:b/>
          <w:bCs/>
          <w:sz w:val="28"/>
          <w:szCs w:val="28"/>
        </w:rPr>
        <w:t xml:space="preserve">6.03.1 Exclusion of </w:t>
      </w:r>
      <w:r w:rsidR="00C772DA" w:rsidRPr="00FA0766">
        <w:rPr>
          <w:rFonts w:ascii="Times New Roman" w:hAnsi="Times New Roman" w:cs="Times New Roman"/>
          <w:b/>
          <w:bCs/>
          <w:sz w:val="28"/>
          <w:szCs w:val="28"/>
        </w:rPr>
        <w:t>D</w:t>
      </w:r>
      <w:r w:rsidRPr="00FA0766">
        <w:rPr>
          <w:rFonts w:ascii="Times New Roman" w:hAnsi="Times New Roman" w:cs="Times New Roman"/>
          <w:b/>
          <w:bCs/>
          <w:sz w:val="28"/>
          <w:szCs w:val="28"/>
        </w:rPr>
        <w:t xml:space="preserve">isruptive </w:t>
      </w:r>
      <w:r w:rsidR="00C772DA" w:rsidRPr="00FA0766">
        <w:rPr>
          <w:rFonts w:ascii="Times New Roman" w:hAnsi="Times New Roman" w:cs="Times New Roman"/>
          <w:b/>
          <w:bCs/>
          <w:sz w:val="28"/>
          <w:szCs w:val="28"/>
        </w:rPr>
        <w:t>D</w:t>
      </w:r>
      <w:r w:rsidRPr="00FA0766">
        <w:rPr>
          <w:rFonts w:ascii="Times New Roman" w:hAnsi="Times New Roman" w:cs="Times New Roman"/>
          <w:b/>
          <w:bCs/>
          <w:sz w:val="28"/>
          <w:szCs w:val="28"/>
        </w:rPr>
        <w:t>efendant</w:t>
      </w:r>
    </w:p>
    <w:p w14:paraId="5D18E5ED" w14:textId="77777777" w:rsidR="005249A8" w:rsidRPr="00FA0766" w:rsidRDefault="005249A8" w:rsidP="00FA0766">
      <w:pPr>
        <w:spacing w:line="276" w:lineRule="auto"/>
        <w:ind w:right="1377"/>
        <w:jc w:val="both"/>
        <w:rPr>
          <w:rFonts w:ascii="Times New Roman" w:hAnsi="Times New Roman" w:cs="Times New Roman"/>
          <w:b/>
          <w:bCs/>
          <w:sz w:val="28"/>
          <w:szCs w:val="28"/>
        </w:rPr>
      </w:pPr>
    </w:p>
    <w:p w14:paraId="37AC1DE3" w14:textId="1ACC3D4C" w:rsidR="001A31CE" w:rsidRPr="00FA0766" w:rsidRDefault="00417C8D" w:rsidP="00D17F39">
      <w:pPr>
        <w:ind w:left="720" w:right="1440"/>
        <w:jc w:val="both"/>
        <w:rPr>
          <w:rFonts w:ascii="Times New Roman" w:hAnsi="Times New Roman" w:cs="Times New Roman"/>
          <w:b/>
          <w:bCs/>
          <w:sz w:val="28"/>
          <w:szCs w:val="28"/>
        </w:rPr>
      </w:pPr>
      <w:r w:rsidRPr="00FA0766">
        <w:rPr>
          <w:rFonts w:ascii="Times New Roman" w:hAnsi="Times New Roman" w:cs="Times New Roman"/>
          <w:b/>
          <w:bCs/>
          <w:sz w:val="28"/>
          <w:szCs w:val="28"/>
        </w:rPr>
        <w:t>In</w:t>
      </w:r>
      <w:r w:rsidR="00C305C5" w:rsidRPr="00FA0766">
        <w:rPr>
          <w:rFonts w:ascii="Times New Roman" w:hAnsi="Times New Roman" w:cs="Times New Roman"/>
          <w:b/>
          <w:bCs/>
          <w:sz w:val="28"/>
          <w:szCs w:val="28"/>
        </w:rPr>
        <w:t xml:space="preserve"> a criminal proceeding, a </w:t>
      </w:r>
      <w:r w:rsidR="001A31CE" w:rsidRPr="00FA0766">
        <w:rPr>
          <w:rFonts w:ascii="Times New Roman" w:hAnsi="Times New Roman" w:cs="Times New Roman"/>
          <w:b/>
          <w:bCs/>
          <w:sz w:val="28"/>
          <w:szCs w:val="28"/>
        </w:rPr>
        <w:t xml:space="preserve">defendant may be removed from </w:t>
      </w:r>
      <w:r w:rsidR="00A96558" w:rsidRPr="00FA0766">
        <w:rPr>
          <w:rFonts w:ascii="Times New Roman" w:hAnsi="Times New Roman" w:cs="Times New Roman"/>
          <w:b/>
          <w:bCs/>
          <w:sz w:val="28"/>
          <w:szCs w:val="28"/>
        </w:rPr>
        <w:t>the</w:t>
      </w:r>
      <w:r w:rsidR="001A31CE" w:rsidRPr="00FA0766">
        <w:rPr>
          <w:rFonts w:ascii="Times New Roman" w:hAnsi="Times New Roman" w:cs="Times New Roman"/>
          <w:b/>
          <w:bCs/>
          <w:sz w:val="28"/>
          <w:szCs w:val="28"/>
        </w:rPr>
        <w:t xml:space="preserve"> courtroom when the defendant acts in so disorderly </w:t>
      </w:r>
      <w:r w:rsidR="00A96558" w:rsidRPr="00FA0766">
        <w:rPr>
          <w:rFonts w:ascii="Times New Roman" w:hAnsi="Times New Roman" w:cs="Times New Roman"/>
          <w:b/>
          <w:bCs/>
          <w:sz w:val="28"/>
          <w:szCs w:val="28"/>
        </w:rPr>
        <w:t>and</w:t>
      </w:r>
      <w:r w:rsidR="001A31CE" w:rsidRPr="00FA0766">
        <w:rPr>
          <w:rFonts w:ascii="Times New Roman" w:hAnsi="Times New Roman" w:cs="Times New Roman"/>
          <w:b/>
          <w:bCs/>
          <w:sz w:val="28"/>
          <w:szCs w:val="28"/>
        </w:rPr>
        <w:t xml:space="preserve"> disruptive </w:t>
      </w:r>
      <w:r w:rsidR="00D3676B" w:rsidRPr="00FA0766">
        <w:rPr>
          <w:rFonts w:ascii="Times New Roman" w:hAnsi="Times New Roman" w:cs="Times New Roman"/>
          <w:b/>
          <w:bCs/>
          <w:sz w:val="28"/>
          <w:szCs w:val="28"/>
        </w:rPr>
        <w:t xml:space="preserve">a </w:t>
      </w:r>
      <w:r w:rsidR="001A31CE" w:rsidRPr="00FA0766">
        <w:rPr>
          <w:rFonts w:ascii="Times New Roman" w:hAnsi="Times New Roman" w:cs="Times New Roman"/>
          <w:b/>
          <w:bCs/>
          <w:sz w:val="28"/>
          <w:szCs w:val="28"/>
        </w:rPr>
        <w:t xml:space="preserve">manner that </w:t>
      </w:r>
      <w:r w:rsidR="00323FC2" w:rsidRPr="00FA0766">
        <w:rPr>
          <w:rFonts w:ascii="Times New Roman" w:hAnsi="Times New Roman" w:cs="Times New Roman"/>
          <w:b/>
          <w:bCs/>
          <w:sz w:val="28"/>
          <w:szCs w:val="28"/>
        </w:rPr>
        <w:t>the</w:t>
      </w:r>
      <w:r w:rsidR="001A31CE" w:rsidRPr="00FA0766">
        <w:rPr>
          <w:rFonts w:ascii="Times New Roman" w:hAnsi="Times New Roman" w:cs="Times New Roman"/>
          <w:b/>
          <w:bCs/>
          <w:sz w:val="28"/>
          <w:szCs w:val="28"/>
        </w:rPr>
        <w:t xml:space="preserve"> proceeding may not be carried on with the defendant present. Before a defendant may be removed, the </w:t>
      </w:r>
      <w:r w:rsidR="00045C40" w:rsidRPr="00FA0766">
        <w:rPr>
          <w:rFonts w:ascii="Times New Roman" w:hAnsi="Times New Roman" w:cs="Times New Roman"/>
          <w:b/>
          <w:bCs/>
          <w:sz w:val="28"/>
          <w:szCs w:val="28"/>
        </w:rPr>
        <w:t>c</w:t>
      </w:r>
      <w:r w:rsidR="001A31CE" w:rsidRPr="00FA0766">
        <w:rPr>
          <w:rFonts w:ascii="Times New Roman" w:hAnsi="Times New Roman" w:cs="Times New Roman"/>
          <w:b/>
          <w:bCs/>
          <w:sz w:val="28"/>
          <w:szCs w:val="28"/>
        </w:rPr>
        <w:t>ourt must warn</w:t>
      </w:r>
      <w:r w:rsidR="006921E5" w:rsidRPr="00FA0766">
        <w:rPr>
          <w:rFonts w:ascii="Times New Roman" w:hAnsi="Times New Roman" w:cs="Times New Roman"/>
          <w:b/>
          <w:bCs/>
          <w:sz w:val="28"/>
          <w:szCs w:val="28"/>
        </w:rPr>
        <w:t xml:space="preserve"> </w:t>
      </w:r>
      <w:r w:rsidR="001A31CE" w:rsidRPr="00FA0766">
        <w:rPr>
          <w:rFonts w:ascii="Times New Roman" w:hAnsi="Times New Roman" w:cs="Times New Roman"/>
          <w:b/>
          <w:bCs/>
          <w:sz w:val="28"/>
          <w:szCs w:val="28"/>
        </w:rPr>
        <w:t>the defendant</w:t>
      </w:r>
      <w:r w:rsidR="006921E5" w:rsidRPr="00FA0766">
        <w:rPr>
          <w:rFonts w:ascii="Times New Roman" w:hAnsi="Times New Roman" w:cs="Times New Roman"/>
          <w:b/>
          <w:bCs/>
          <w:sz w:val="28"/>
          <w:szCs w:val="28"/>
        </w:rPr>
        <w:t xml:space="preserve"> </w:t>
      </w:r>
      <w:r w:rsidR="001A31CE" w:rsidRPr="00FA0766">
        <w:rPr>
          <w:rFonts w:ascii="Times New Roman" w:hAnsi="Times New Roman" w:cs="Times New Roman"/>
          <w:b/>
          <w:bCs/>
          <w:sz w:val="28"/>
          <w:szCs w:val="28"/>
        </w:rPr>
        <w:t>that</w:t>
      </w:r>
      <w:r w:rsidR="006921E5" w:rsidRPr="00FA0766">
        <w:rPr>
          <w:rFonts w:ascii="Times New Roman" w:hAnsi="Times New Roman" w:cs="Times New Roman"/>
          <w:b/>
          <w:bCs/>
          <w:sz w:val="28"/>
          <w:szCs w:val="28"/>
        </w:rPr>
        <w:t xml:space="preserve"> </w:t>
      </w:r>
      <w:r w:rsidR="001A31CE" w:rsidRPr="00FA0766">
        <w:rPr>
          <w:rFonts w:ascii="Times New Roman" w:hAnsi="Times New Roman" w:cs="Times New Roman"/>
          <w:b/>
          <w:bCs/>
          <w:sz w:val="28"/>
          <w:szCs w:val="28"/>
        </w:rPr>
        <w:t>the defendant</w:t>
      </w:r>
      <w:r w:rsidR="006921E5" w:rsidRPr="00FA0766">
        <w:rPr>
          <w:rFonts w:ascii="Times New Roman" w:hAnsi="Times New Roman" w:cs="Times New Roman"/>
          <w:b/>
          <w:bCs/>
          <w:sz w:val="28"/>
          <w:szCs w:val="28"/>
        </w:rPr>
        <w:t xml:space="preserve"> </w:t>
      </w:r>
      <w:r w:rsidR="001A31CE" w:rsidRPr="00FA0766">
        <w:rPr>
          <w:rFonts w:ascii="Times New Roman" w:hAnsi="Times New Roman" w:cs="Times New Roman"/>
          <w:b/>
          <w:bCs/>
          <w:sz w:val="28"/>
          <w:szCs w:val="28"/>
        </w:rPr>
        <w:t>will be removed if such conduct continues. Failure to provide the warning may be excused when exceptional circumstances demonstrate no practical value to, or opportunity for, a warning to the defendant to cease the disruptive conduct.</w:t>
      </w:r>
    </w:p>
    <w:p w14:paraId="221ADF57" w14:textId="77777777" w:rsidR="00C97E62" w:rsidRPr="00FA0766" w:rsidRDefault="00C97E62" w:rsidP="00FA0766">
      <w:pPr>
        <w:spacing w:line="276" w:lineRule="auto"/>
        <w:ind w:right="1377"/>
        <w:jc w:val="both"/>
        <w:rPr>
          <w:rFonts w:ascii="Times New Roman" w:hAnsi="Times New Roman" w:cs="Times New Roman"/>
          <w:b/>
          <w:bCs/>
          <w:sz w:val="28"/>
          <w:szCs w:val="28"/>
        </w:rPr>
      </w:pPr>
    </w:p>
    <w:p w14:paraId="43AF266C" w14:textId="62A52F6E" w:rsidR="003C6B5E" w:rsidRPr="00FA0766" w:rsidRDefault="003C6B5E" w:rsidP="00FA0766">
      <w:pPr>
        <w:spacing w:line="276" w:lineRule="auto"/>
        <w:ind w:right="1377"/>
        <w:jc w:val="center"/>
        <w:rPr>
          <w:rFonts w:ascii="Times New Roman" w:hAnsi="Times New Roman" w:cs="Times New Roman"/>
          <w:b/>
          <w:bCs/>
          <w:sz w:val="24"/>
          <w:szCs w:val="24"/>
        </w:rPr>
      </w:pPr>
      <w:r w:rsidRPr="00FA0766">
        <w:rPr>
          <w:rFonts w:ascii="Times New Roman" w:hAnsi="Times New Roman" w:cs="Times New Roman"/>
          <w:b/>
          <w:bCs/>
          <w:sz w:val="24"/>
          <w:szCs w:val="24"/>
        </w:rPr>
        <w:t>Note</w:t>
      </w:r>
    </w:p>
    <w:p w14:paraId="5F43FDE5" w14:textId="77777777" w:rsidR="003C6B5E" w:rsidRPr="00FA0766" w:rsidRDefault="003C6B5E" w:rsidP="00FA0766">
      <w:pPr>
        <w:spacing w:line="276" w:lineRule="auto"/>
        <w:ind w:right="1377"/>
        <w:jc w:val="both"/>
        <w:rPr>
          <w:rFonts w:ascii="Times New Roman" w:hAnsi="Times New Roman" w:cs="Times New Roman"/>
          <w:b/>
          <w:bCs/>
          <w:sz w:val="24"/>
          <w:szCs w:val="24"/>
        </w:rPr>
      </w:pPr>
    </w:p>
    <w:p w14:paraId="11BC3558" w14:textId="05C13BF9" w:rsidR="001A37BD" w:rsidRPr="00FA0766" w:rsidRDefault="0012778C" w:rsidP="00FA0766">
      <w:pPr>
        <w:pStyle w:val="ListParagraph"/>
        <w:spacing w:line="276" w:lineRule="auto"/>
        <w:ind w:left="0"/>
        <w:rPr>
          <w:rFonts w:eastAsia="Times New Roman"/>
          <w:sz w:val="24"/>
          <w:szCs w:val="24"/>
          <w14:ligatures w14:val="none"/>
        </w:rPr>
      </w:pPr>
      <w:r w:rsidRPr="00FA0766">
        <w:rPr>
          <w:sz w:val="24"/>
          <w:szCs w:val="24"/>
        </w:rPr>
        <w:tab/>
        <w:t xml:space="preserve">This rule </w:t>
      </w:r>
      <w:r w:rsidR="0079584D" w:rsidRPr="00FA0766">
        <w:rPr>
          <w:sz w:val="24"/>
          <w:szCs w:val="24"/>
        </w:rPr>
        <w:t>is derived from</w:t>
      </w:r>
      <w:r w:rsidRPr="00FA0766">
        <w:rPr>
          <w:sz w:val="24"/>
          <w:szCs w:val="24"/>
        </w:rPr>
        <w:t xml:space="preserve"> </w:t>
      </w:r>
      <w:r w:rsidR="003A76AD" w:rsidRPr="00FA0766">
        <w:rPr>
          <w:sz w:val="24"/>
          <w:szCs w:val="24"/>
        </w:rPr>
        <w:t xml:space="preserve">both </w:t>
      </w:r>
      <w:r w:rsidRPr="00FA0766">
        <w:rPr>
          <w:sz w:val="24"/>
          <w:szCs w:val="24"/>
        </w:rPr>
        <w:t xml:space="preserve">CPL 260.20 </w:t>
      </w:r>
      <w:r w:rsidR="00C411FB" w:rsidRPr="00FA0766">
        <w:rPr>
          <w:sz w:val="24"/>
          <w:szCs w:val="24"/>
        </w:rPr>
        <w:t>(</w:t>
      </w:r>
      <w:r w:rsidRPr="00FA0766">
        <w:rPr>
          <w:sz w:val="24"/>
          <w:szCs w:val="24"/>
        </w:rPr>
        <w:t>“a defendant who conducts himself in so disorderly and disruptive a manner that his trial cannot be carried on with him in the courtroom may be removed from the courtroom if, after he has been warned by the court that he will be removed if he continues such conduct, he continues to engage in such conduct”</w:t>
      </w:r>
      <w:r w:rsidR="00C411FB" w:rsidRPr="00FA0766">
        <w:rPr>
          <w:sz w:val="24"/>
          <w:szCs w:val="24"/>
        </w:rPr>
        <w:t>)</w:t>
      </w:r>
      <w:r w:rsidR="007E7748" w:rsidRPr="00FA0766">
        <w:rPr>
          <w:sz w:val="24"/>
          <w:szCs w:val="24"/>
        </w:rPr>
        <w:t xml:space="preserve"> and</w:t>
      </w:r>
      <w:r w:rsidR="00424CF7" w:rsidRPr="00FA0766">
        <w:rPr>
          <w:sz w:val="24"/>
          <w:szCs w:val="24"/>
        </w:rPr>
        <w:t xml:space="preserve"> decisional law,</w:t>
      </w:r>
      <w:r w:rsidRPr="00FA0766">
        <w:rPr>
          <w:sz w:val="24"/>
          <w:szCs w:val="24"/>
        </w:rPr>
        <w:t xml:space="preserve"> beginning with </w:t>
      </w:r>
      <w:r w:rsidR="001A37BD" w:rsidRPr="00FA0766">
        <w:rPr>
          <w:rFonts w:eastAsia="Times New Roman"/>
          <w:i/>
          <w:iCs/>
          <w:sz w:val="24"/>
          <w:szCs w:val="24"/>
          <w14:ligatures w14:val="none"/>
        </w:rPr>
        <w:t>Illinois v Allen</w:t>
      </w:r>
      <w:r w:rsidR="001A37BD" w:rsidRPr="00FA0766">
        <w:rPr>
          <w:rFonts w:eastAsia="Times New Roman"/>
          <w:sz w:val="24"/>
          <w:szCs w:val="24"/>
          <w14:ligatures w14:val="none"/>
        </w:rPr>
        <w:t xml:space="preserve"> </w:t>
      </w:r>
      <w:r w:rsidR="00C411FB" w:rsidRPr="00FA0766">
        <w:rPr>
          <w:rFonts w:eastAsia="Times New Roman"/>
          <w:sz w:val="24"/>
          <w:szCs w:val="24"/>
          <w14:ligatures w14:val="none"/>
        </w:rPr>
        <w:t>(</w:t>
      </w:r>
      <w:r w:rsidR="001A37BD" w:rsidRPr="00FA0766">
        <w:rPr>
          <w:rFonts w:eastAsia="Times New Roman"/>
          <w:sz w:val="24"/>
          <w:szCs w:val="24"/>
          <w14:ligatures w14:val="none"/>
        </w:rPr>
        <w:t>397 US 337, 338 [1970] [an accused cannot “claim the benefit of this constitutional right to remain in the courtroom while at the same time he engages in speech and conduct which is so noisy, disorderly, and disruptive that it is exceedingly difficult or wholly impossible to carry on the trial</w:t>
      </w:r>
      <w:r w:rsidR="00CA08C7" w:rsidRPr="00FA0766">
        <w:rPr>
          <w:rFonts w:eastAsia="Times New Roman"/>
          <w:sz w:val="24"/>
          <w:szCs w:val="24"/>
          <w14:ligatures w14:val="none"/>
        </w:rPr>
        <w:t>”</w:t>
      </w:r>
      <w:r w:rsidR="001A37BD" w:rsidRPr="00FA0766">
        <w:rPr>
          <w:rFonts w:eastAsia="Times New Roman"/>
          <w:sz w:val="24"/>
          <w:szCs w:val="24"/>
          <w14:ligatures w14:val="none"/>
        </w:rPr>
        <w:t>]</w:t>
      </w:r>
      <w:r w:rsidR="00C411FB" w:rsidRPr="00FA0766">
        <w:rPr>
          <w:rFonts w:eastAsia="Times New Roman"/>
          <w:sz w:val="24"/>
          <w:szCs w:val="24"/>
          <w14:ligatures w14:val="none"/>
        </w:rPr>
        <w:t>)</w:t>
      </w:r>
      <w:r w:rsidR="001A37BD" w:rsidRPr="00FA0766">
        <w:rPr>
          <w:rFonts w:eastAsia="Times New Roman"/>
          <w:sz w:val="24"/>
          <w:szCs w:val="24"/>
          <w14:ligatures w14:val="none"/>
        </w:rPr>
        <w:t>.</w:t>
      </w:r>
    </w:p>
    <w:p w14:paraId="1716214F" w14:textId="77777777" w:rsidR="001A37BD" w:rsidRPr="00FA0766" w:rsidRDefault="001A37BD" w:rsidP="00FA0766">
      <w:pPr>
        <w:pStyle w:val="ListParagraph"/>
        <w:spacing w:line="276" w:lineRule="auto"/>
        <w:ind w:left="0" w:right="720"/>
        <w:rPr>
          <w:sz w:val="24"/>
          <w:szCs w:val="24"/>
        </w:rPr>
      </w:pPr>
    </w:p>
    <w:p w14:paraId="79DDE5DD" w14:textId="0E701A4D" w:rsidR="00660637" w:rsidRPr="00FA0766" w:rsidRDefault="0008031E" w:rsidP="00FA0766">
      <w:pPr>
        <w:shd w:val="clear" w:color="auto" w:fill="FFFFFF"/>
        <w:spacing w:line="276" w:lineRule="auto"/>
        <w:jc w:val="both"/>
        <w:rPr>
          <w:rFonts w:ascii="Times New Roman" w:eastAsia="Times New Roman" w:hAnsi="Times New Roman" w:cs="Times New Roman"/>
          <w:sz w:val="24"/>
          <w:szCs w:val="24"/>
          <w14:ligatures w14:val="none"/>
        </w:rPr>
      </w:pPr>
      <w:r w:rsidRPr="00FA0766">
        <w:rPr>
          <w:rFonts w:ascii="Times New Roman" w:eastAsia="Times New Roman" w:hAnsi="Times New Roman" w:cs="Times New Roman"/>
          <w:i/>
          <w:iCs/>
          <w:sz w:val="24"/>
          <w:szCs w:val="24"/>
          <w14:ligatures w14:val="none"/>
        </w:rPr>
        <w:tab/>
      </w:r>
      <w:r w:rsidRPr="00FA0766">
        <w:rPr>
          <w:rFonts w:ascii="Times New Roman" w:eastAsia="Times New Roman" w:hAnsi="Times New Roman" w:cs="Times New Roman"/>
          <w:sz w:val="24"/>
          <w:szCs w:val="24"/>
          <w14:ligatures w14:val="none"/>
        </w:rPr>
        <w:t xml:space="preserve">Following </w:t>
      </w:r>
      <w:r w:rsidRPr="00FA0766">
        <w:rPr>
          <w:rFonts w:ascii="Times New Roman" w:eastAsia="Times New Roman" w:hAnsi="Times New Roman" w:cs="Times New Roman"/>
          <w:i/>
          <w:iCs/>
          <w:sz w:val="24"/>
          <w:szCs w:val="24"/>
          <w14:ligatures w14:val="none"/>
        </w:rPr>
        <w:t>Allen</w:t>
      </w:r>
      <w:r w:rsidRPr="00FA0766">
        <w:rPr>
          <w:rFonts w:ascii="Times New Roman" w:eastAsia="Times New Roman" w:hAnsi="Times New Roman" w:cs="Times New Roman"/>
          <w:sz w:val="24"/>
          <w:szCs w:val="24"/>
          <w14:ligatures w14:val="none"/>
        </w:rPr>
        <w:t xml:space="preserve"> and enactment of CPL 260.20, the Court of Appeals held that </w:t>
      </w:r>
      <w:r w:rsidR="00461717" w:rsidRPr="00FA0766">
        <w:rPr>
          <w:rFonts w:ascii="Times New Roman" w:eastAsia="Times New Roman" w:hAnsi="Times New Roman" w:cs="Times New Roman"/>
          <w:sz w:val="24"/>
          <w:szCs w:val="24"/>
          <w14:ligatures w14:val="none"/>
        </w:rPr>
        <w:t>“</w:t>
      </w:r>
      <w:r w:rsidR="009054FD" w:rsidRPr="00FA0766">
        <w:rPr>
          <w:rFonts w:ascii="Times New Roman" w:eastAsia="Times New Roman" w:hAnsi="Times New Roman" w:cs="Times New Roman"/>
          <w:sz w:val="24"/>
          <w:szCs w:val="24"/>
          <w14:ligatures w14:val="none"/>
        </w:rPr>
        <w:t>[w]</w:t>
      </w:r>
      <w:r w:rsidRPr="00FA0766">
        <w:rPr>
          <w:rFonts w:ascii="Times New Roman" w:eastAsia="Times New Roman" w:hAnsi="Times New Roman" w:cs="Times New Roman"/>
          <w:sz w:val="24"/>
          <w:szCs w:val="24"/>
          <w14:ligatures w14:val="none"/>
        </w:rPr>
        <w:t>hile the right of an accused to be present at every stage of a trial is guaranteed by Constitution (U. S. Const., 6th, 14th, Amdts.; see</w:t>
      </w:r>
      <w:r w:rsidRPr="00FA0766">
        <w:rPr>
          <w:rFonts w:ascii="Times New Roman" w:eastAsia="Times New Roman" w:hAnsi="Times New Roman" w:cs="Times New Roman"/>
          <w:i/>
          <w:iCs/>
          <w:sz w:val="24"/>
          <w:szCs w:val="24"/>
          <w14:ligatures w14:val="none"/>
        </w:rPr>
        <w:t xml:space="preserve"> Illinois v. Allen,</w:t>
      </w:r>
      <w:r w:rsidRPr="00FA0766">
        <w:rPr>
          <w:rFonts w:ascii="Times New Roman" w:eastAsia="Times New Roman" w:hAnsi="Times New Roman" w:cs="Times New Roman"/>
          <w:sz w:val="24"/>
          <w:szCs w:val="24"/>
          <w14:ligatures w14:val="none"/>
        </w:rPr>
        <w:t xml:space="preserve"> 397 U. S. 337, 338) and statute (CPL 260.20), the right may be lost where the defendant engages in misconduct so disruptive that the trial cannot properly proceed with him in the courtroom.</w:t>
      </w:r>
      <w:r w:rsidR="00461717" w:rsidRPr="00FA0766">
        <w:rPr>
          <w:rFonts w:ascii="Times New Roman" w:eastAsia="Times New Roman" w:hAnsi="Times New Roman" w:cs="Times New Roman"/>
          <w:sz w:val="24"/>
          <w:szCs w:val="24"/>
          <w14:ligatures w14:val="none"/>
        </w:rPr>
        <w:t>”</w:t>
      </w:r>
      <w:r w:rsidRPr="00FA0766">
        <w:rPr>
          <w:rFonts w:ascii="Times New Roman" w:eastAsia="Times New Roman" w:hAnsi="Times New Roman" w:cs="Times New Roman"/>
          <w:sz w:val="24"/>
          <w:szCs w:val="24"/>
          <w14:ligatures w14:val="none"/>
        </w:rPr>
        <w:t xml:space="preserve"> </w:t>
      </w:r>
      <w:r w:rsidR="00424CF7" w:rsidRPr="00FA0766">
        <w:rPr>
          <w:rFonts w:ascii="Times New Roman" w:eastAsia="Times New Roman" w:hAnsi="Times New Roman" w:cs="Times New Roman"/>
          <w:sz w:val="24"/>
          <w:szCs w:val="24"/>
          <w14:ligatures w14:val="none"/>
        </w:rPr>
        <w:t>(</w:t>
      </w:r>
      <w:r w:rsidRPr="00FA0766">
        <w:rPr>
          <w:rFonts w:ascii="Times New Roman" w:eastAsia="Times New Roman" w:hAnsi="Times New Roman" w:cs="Times New Roman"/>
          <w:i/>
          <w:iCs/>
          <w:sz w:val="24"/>
          <w:szCs w:val="24"/>
          <w14:ligatures w14:val="none"/>
        </w:rPr>
        <w:t>People v Byrnes</w:t>
      </w:r>
      <w:r w:rsidRPr="00FA0766">
        <w:rPr>
          <w:rFonts w:ascii="Times New Roman" w:eastAsia="Times New Roman" w:hAnsi="Times New Roman" w:cs="Times New Roman"/>
          <w:sz w:val="24"/>
          <w:szCs w:val="24"/>
          <w14:ligatures w14:val="none"/>
        </w:rPr>
        <w:t xml:space="preserve">, 33 NY2d 343, 349 [1974] </w:t>
      </w:r>
      <w:r w:rsidR="00C97E62" w:rsidRPr="00FA0766">
        <w:rPr>
          <w:rFonts w:ascii="Times New Roman" w:hAnsi="Times New Roman" w:cs="Times New Roman"/>
          <w:sz w:val="24"/>
          <w:szCs w:val="24"/>
        </w:rPr>
        <w:t>[“the Trial Judge acted well within his discretion in excluding the defendant from the courtroom during the testimony of the complaining witness. Four outbursts punctuated by profane and abusive language preceded defendant</w:t>
      </w:r>
      <w:r w:rsidR="00D56145" w:rsidRPr="00FA0766">
        <w:rPr>
          <w:rFonts w:ascii="Times New Roman" w:hAnsi="Times New Roman" w:cs="Times New Roman"/>
          <w:sz w:val="24"/>
          <w:szCs w:val="24"/>
        </w:rPr>
        <w:t>’</w:t>
      </w:r>
      <w:r w:rsidR="00C97E62" w:rsidRPr="00FA0766">
        <w:rPr>
          <w:rFonts w:ascii="Times New Roman" w:hAnsi="Times New Roman" w:cs="Times New Roman"/>
          <w:sz w:val="24"/>
          <w:szCs w:val="24"/>
        </w:rPr>
        <w:t>s removal. Each related in some way to the prospect of the complainant testifying in court. On one of these occasions, it was necessary for the defendant to be restrained by Sheriff</w:t>
      </w:r>
      <w:r w:rsidR="00D56145" w:rsidRPr="00FA0766">
        <w:rPr>
          <w:rFonts w:ascii="Times New Roman" w:hAnsi="Times New Roman" w:cs="Times New Roman"/>
          <w:sz w:val="24"/>
          <w:szCs w:val="24"/>
        </w:rPr>
        <w:t>’</w:t>
      </w:r>
      <w:r w:rsidR="00C97E62" w:rsidRPr="00FA0766">
        <w:rPr>
          <w:rFonts w:ascii="Times New Roman" w:hAnsi="Times New Roman" w:cs="Times New Roman"/>
          <w:sz w:val="24"/>
          <w:szCs w:val="24"/>
        </w:rPr>
        <w:t>s Deputies. The court was careful to admonish the defendant that further outbursts would be cause for removal”</w:t>
      </w:r>
      <w:r w:rsidR="009054FD" w:rsidRPr="00FA0766">
        <w:rPr>
          <w:rFonts w:ascii="Times New Roman" w:hAnsi="Times New Roman" w:cs="Times New Roman"/>
          <w:sz w:val="24"/>
          <w:szCs w:val="24"/>
        </w:rPr>
        <w:t xml:space="preserve"> (</w:t>
      </w:r>
      <w:r w:rsidR="009054FD" w:rsidRPr="00FA0766">
        <w:rPr>
          <w:rFonts w:ascii="Times New Roman" w:hAnsi="Times New Roman" w:cs="Times New Roman"/>
          <w:i/>
          <w:iCs/>
          <w:sz w:val="24"/>
          <w:szCs w:val="24"/>
        </w:rPr>
        <w:t>id.</w:t>
      </w:r>
      <w:r w:rsidR="009054FD" w:rsidRPr="00FA0766">
        <w:rPr>
          <w:rFonts w:ascii="Times New Roman" w:hAnsi="Times New Roman" w:cs="Times New Roman"/>
          <w:sz w:val="24"/>
          <w:szCs w:val="24"/>
        </w:rPr>
        <w:t xml:space="preserve"> at 349-350)</w:t>
      </w:r>
      <w:r w:rsidR="00C97E62" w:rsidRPr="00FA0766">
        <w:rPr>
          <w:rFonts w:ascii="Times New Roman" w:hAnsi="Times New Roman" w:cs="Times New Roman"/>
          <w:sz w:val="24"/>
          <w:szCs w:val="24"/>
        </w:rPr>
        <w:t>]</w:t>
      </w:r>
      <w:r w:rsidR="00424CF7" w:rsidRPr="00FA0766">
        <w:rPr>
          <w:rFonts w:ascii="Times New Roman" w:hAnsi="Times New Roman" w:cs="Times New Roman"/>
          <w:sz w:val="24"/>
          <w:szCs w:val="24"/>
        </w:rPr>
        <w:t xml:space="preserve">; </w:t>
      </w:r>
      <w:r w:rsidR="00424CF7" w:rsidRPr="00FA0766">
        <w:rPr>
          <w:rFonts w:ascii="Times New Roman" w:hAnsi="Times New Roman" w:cs="Times New Roman"/>
          <w:i/>
          <w:iCs/>
          <w:sz w:val="24"/>
          <w:szCs w:val="24"/>
        </w:rPr>
        <w:t>a</w:t>
      </w:r>
      <w:r w:rsidR="00660637" w:rsidRPr="00FA0766">
        <w:rPr>
          <w:rFonts w:ascii="Times New Roman" w:hAnsi="Times New Roman" w:cs="Times New Roman"/>
          <w:i/>
          <w:iCs/>
          <w:sz w:val="24"/>
          <w:szCs w:val="24"/>
        </w:rPr>
        <w:t>ccord</w:t>
      </w:r>
      <w:r w:rsidR="00660637" w:rsidRPr="00FA0766">
        <w:rPr>
          <w:rFonts w:ascii="Times New Roman" w:hAnsi="Times New Roman" w:cs="Times New Roman"/>
          <w:sz w:val="24"/>
          <w:szCs w:val="24"/>
        </w:rPr>
        <w:t xml:space="preserve"> </w:t>
      </w:r>
      <w:r w:rsidR="00660637" w:rsidRPr="00FA0766">
        <w:rPr>
          <w:rFonts w:ascii="Times New Roman" w:eastAsia="Times New Roman" w:hAnsi="Times New Roman" w:cs="Times New Roman"/>
          <w:i/>
          <w:iCs/>
          <w:sz w:val="24"/>
          <w:szCs w:val="24"/>
          <w14:ligatures w14:val="none"/>
        </w:rPr>
        <w:t>People v Johnson</w:t>
      </w:r>
      <w:r w:rsidR="00660637" w:rsidRPr="00FA0766">
        <w:rPr>
          <w:rFonts w:ascii="Times New Roman" w:eastAsia="Times New Roman" w:hAnsi="Times New Roman" w:cs="Times New Roman"/>
          <w:sz w:val="24"/>
          <w:szCs w:val="24"/>
          <w14:ligatures w14:val="none"/>
        </w:rPr>
        <w:t xml:space="preserve">, 37 </w:t>
      </w:r>
      <w:r w:rsidR="00660637" w:rsidRPr="00FA0766">
        <w:rPr>
          <w:rFonts w:ascii="Times New Roman" w:eastAsia="Times New Roman" w:hAnsi="Times New Roman" w:cs="Times New Roman"/>
          <w:sz w:val="24"/>
          <w:szCs w:val="24"/>
          <w14:ligatures w14:val="none"/>
        </w:rPr>
        <w:lastRenderedPageBreak/>
        <w:t>NY2d 778, 779 [1975] [“The defendant</w:t>
      </w:r>
      <w:r w:rsidR="00D56145" w:rsidRPr="00FA0766">
        <w:rPr>
          <w:rFonts w:ascii="Times New Roman" w:eastAsia="Times New Roman" w:hAnsi="Times New Roman" w:cs="Times New Roman"/>
          <w:sz w:val="24"/>
          <w:szCs w:val="24"/>
          <w14:ligatures w14:val="none"/>
        </w:rPr>
        <w:t>’</w:t>
      </w:r>
      <w:r w:rsidR="00660637" w:rsidRPr="00FA0766">
        <w:rPr>
          <w:rFonts w:ascii="Times New Roman" w:eastAsia="Times New Roman" w:hAnsi="Times New Roman" w:cs="Times New Roman"/>
          <w:sz w:val="24"/>
          <w:szCs w:val="24"/>
          <w14:ligatures w14:val="none"/>
        </w:rPr>
        <w:t>s behavior in turning over a table and lying on the floor during the testimony of the identification witness, coupled with the defendant</w:t>
      </w:r>
      <w:r w:rsidR="00D56145" w:rsidRPr="00FA0766">
        <w:rPr>
          <w:rFonts w:ascii="Times New Roman" w:eastAsia="Times New Roman" w:hAnsi="Times New Roman" w:cs="Times New Roman"/>
          <w:sz w:val="24"/>
          <w:szCs w:val="24"/>
          <w14:ligatures w14:val="none"/>
        </w:rPr>
        <w:t>’</w:t>
      </w:r>
      <w:r w:rsidR="00660637" w:rsidRPr="00FA0766">
        <w:rPr>
          <w:rFonts w:ascii="Times New Roman" w:eastAsia="Times New Roman" w:hAnsi="Times New Roman" w:cs="Times New Roman"/>
          <w:sz w:val="24"/>
          <w:szCs w:val="24"/>
          <w14:ligatures w14:val="none"/>
        </w:rPr>
        <w:t>s clear and repeated requests to leave the courtroom and the Trial Judge</w:t>
      </w:r>
      <w:r w:rsidR="00D56145" w:rsidRPr="00FA0766">
        <w:rPr>
          <w:rFonts w:ascii="Times New Roman" w:eastAsia="Times New Roman" w:hAnsi="Times New Roman" w:cs="Times New Roman"/>
          <w:sz w:val="24"/>
          <w:szCs w:val="24"/>
          <w14:ligatures w14:val="none"/>
        </w:rPr>
        <w:t>’</w:t>
      </w:r>
      <w:r w:rsidR="00660637" w:rsidRPr="00FA0766">
        <w:rPr>
          <w:rFonts w:ascii="Times New Roman" w:eastAsia="Times New Roman" w:hAnsi="Times New Roman" w:cs="Times New Roman"/>
          <w:sz w:val="24"/>
          <w:szCs w:val="24"/>
          <w14:ligatures w14:val="none"/>
        </w:rPr>
        <w:t>s admonitions and explanation of the consequences were sufficient to constitute a waiver of his right to be present at trial</w:t>
      </w:r>
      <w:r w:rsidR="00780D30" w:rsidRPr="00FA0766">
        <w:rPr>
          <w:rFonts w:ascii="Times New Roman" w:eastAsia="Times New Roman" w:hAnsi="Times New Roman" w:cs="Times New Roman"/>
          <w:sz w:val="24"/>
          <w:szCs w:val="24"/>
          <w14:ligatures w14:val="none"/>
        </w:rPr>
        <w:t>”</w:t>
      </w:r>
      <w:r w:rsidR="00424CF7" w:rsidRPr="00FA0766">
        <w:rPr>
          <w:rFonts w:ascii="Times New Roman" w:eastAsia="Times New Roman" w:hAnsi="Times New Roman" w:cs="Times New Roman"/>
          <w:sz w:val="24"/>
          <w:szCs w:val="24"/>
          <w14:ligatures w14:val="none"/>
        </w:rPr>
        <w:t>]</w:t>
      </w:r>
      <w:r w:rsidR="00061244" w:rsidRPr="00FA0766">
        <w:rPr>
          <w:rFonts w:ascii="Times New Roman" w:eastAsia="Times New Roman" w:hAnsi="Times New Roman" w:cs="Times New Roman"/>
          <w:sz w:val="24"/>
          <w:szCs w:val="24"/>
          <w14:ligatures w14:val="none"/>
        </w:rPr>
        <w:t>.</w:t>
      </w:r>
      <w:r w:rsidR="00A15F19" w:rsidRPr="00FA0766">
        <w:rPr>
          <w:rFonts w:ascii="Times New Roman" w:eastAsia="Times New Roman" w:hAnsi="Times New Roman" w:cs="Times New Roman"/>
          <w:sz w:val="24"/>
          <w:szCs w:val="24"/>
          <w14:ligatures w14:val="none"/>
        </w:rPr>
        <w:t>)</w:t>
      </w:r>
    </w:p>
    <w:p w14:paraId="69D64E9D" w14:textId="77777777" w:rsidR="008B24C5" w:rsidRPr="00FA0766" w:rsidRDefault="008B24C5" w:rsidP="00FA0766">
      <w:pPr>
        <w:shd w:val="clear" w:color="auto" w:fill="FFFFFF"/>
        <w:spacing w:line="276" w:lineRule="auto"/>
        <w:ind w:right="720"/>
        <w:jc w:val="both"/>
        <w:rPr>
          <w:rFonts w:ascii="Times New Roman" w:hAnsi="Times New Roman" w:cs="Times New Roman"/>
          <w:sz w:val="24"/>
          <w:szCs w:val="24"/>
        </w:rPr>
      </w:pPr>
    </w:p>
    <w:p w14:paraId="2EB03A41" w14:textId="44F6CCA2" w:rsidR="00C001FD" w:rsidRPr="00FA0766" w:rsidRDefault="00C001FD" w:rsidP="00FA0766">
      <w:pPr>
        <w:shd w:val="clear" w:color="auto" w:fill="FFFFFF"/>
        <w:spacing w:line="276" w:lineRule="auto"/>
        <w:jc w:val="both"/>
        <w:rPr>
          <w:rFonts w:ascii="Times New Roman" w:eastAsia="Times New Roman" w:hAnsi="Times New Roman" w:cs="Times New Roman"/>
          <w:sz w:val="24"/>
          <w:szCs w:val="24"/>
          <w14:ligatures w14:val="none"/>
        </w:rPr>
      </w:pPr>
      <w:r w:rsidRPr="00FA0766">
        <w:rPr>
          <w:rFonts w:ascii="Times New Roman" w:hAnsi="Times New Roman" w:cs="Times New Roman"/>
          <w:sz w:val="24"/>
          <w:szCs w:val="24"/>
        </w:rPr>
        <w:tab/>
        <w:t xml:space="preserve">A defendant’s disruptive behavior in the presence of the jury does not necessarily require a mistrial. </w:t>
      </w:r>
      <w:r w:rsidR="001549FD" w:rsidRPr="00FA0766">
        <w:rPr>
          <w:rFonts w:ascii="Times New Roman" w:hAnsi="Times New Roman" w:cs="Times New Roman"/>
          <w:sz w:val="24"/>
          <w:szCs w:val="24"/>
        </w:rPr>
        <w:t>(</w:t>
      </w:r>
      <w:r w:rsidRPr="00FA0766">
        <w:rPr>
          <w:rFonts w:ascii="Times New Roman" w:eastAsia="Times New Roman" w:hAnsi="Times New Roman" w:cs="Times New Roman"/>
          <w:i/>
          <w:iCs/>
          <w:sz w:val="24"/>
          <w:szCs w:val="24"/>
          <w14:ligatures w14:val="none"/>
        </w:rPr>
        <w:t>People v Cosby</w:t>
      </w:r>
      <w:r w:rsidRPr="00FA0766">
        <w:rPr>
          <w:rFonts w:ascii="Times New Roman" w:eastAsia="Times New Roman" w:hAnsi="Times New Roman" w:cs="Times New Roman"/>
          <w:sz w:val="24"/>
          <w:szCs w:val="24"/>
          <w14:ligatures w14:val="none"/>
        </w:rPr>
        <w:t xml:space="preserve">, 271 AD2d 353, 354 [1st Dept 2000] [the court excluded the disruptive defendant from the courtroom and denied the </w:t>
      </w:r>
      <w:r w:rsidR="00F65DF6" w:rsidRPr="00FA0766">
        <w:rPr>
          <w:rFonts w:ascii="Times New Roman" w:eastAsia="Times New Roman" w:hAnsi="Times New Roman" w:cs="Times New Roman"/>
          <w:sz w:val="24"/>
          <w:szCs w:val="24"/>
          <w14:ligatures w14:val="none"/>
        </w:rPr>
        <w:t>“</w:t>
      </w:r>
      <w:r w:rsidRPr="00FA0766">
        <w:rPr>
          <w:rFonts w:ascii="Times New Roman" w:eastAsia="Times New Roman" w:hAnsi="Times New Roman" w:cs="Times New Roman"/>
          <w:sz w:val="24"/>
          <w:szCs w:val="24"/>
          <w14:ligatures w14:val="none"/>
        </w:rPr>
        <w:t>defendant</w:t>
      </w:r>
      <w:r w:rsidR="00D56145" w:rsidRPr="00FA0766">
        <w:rPr>
          <w:rFonts w:ascii="Times New Roman" w:eastAsia="Times New Roman" w:hAnsi="Times New Roman" w:cs="Times New Roman"/>
          <w:sz w:val="24"/>
          <w:szCs w:val="24"/>
          <w14:ligatures w14:val="none"/>
        </w:rPr>
        <w:t>’</w:t>
      </w:r>
      <w:r w:rsidRPr="00FA0766">
        <w:rPr>
          <w:rFonts w:ascii="Times New Roman" w:eastAsia="Times New Roman" w:hAnsi="Times New Roman" w:cs="Times New Roman"/>
          <w:sz w:val="24"/>
          <w:szCs w:val="24"/>
          <w14:ligatures w14:val="none"/>
        </w:rPr>
        <w:t>s motion for a mistrial or for individual questioning of the jurors concerning the effect of defendant</w:t>
      </w:r>
      <w:r w:rsidR="00D56145" w:rsidRPr="00FA0766">
        <w:rPr>
          <w:rFonts w:ascii="Times New Roman" w:eastAsia="Times New Roman" w:hAnsi="Times New Roman" w:cs="Times New Roman"/>
          <w:sz w:val="24"/>
          <w:szCs w:val="24"/>
          <w14:ligatures w14:val="none"/>
        </w:rPr>
        <w:t>’</w:t>
      </w:r>
      <w:r w:rsidRPr="00FA0766">
        <w:rPr>
          <w:rFonts w:ascii="Times New Roman" w:eastAsia="Times New Roman" w:hAnsi="Times New Roman" w:cs="Times New Roman"/>
          <w:sz w:val="24"/>
          <w:szCs w:val="24"/>
          <w14:ligatures w14:val="none"/>
        </w:rPr>
        <w:t>s courtroom disruptions. The court</w:t>
      </w:r>
      <w:r w:rsidR="00D56145" w:rsidRPr="00FA0766">
        <w:rPr>
          <w:rFonts w:ascii="Times New Roman" w:eastAsia="Times New Roman" w:hAnsi="Times New Roman" w:cs="Times New Roman"/>
          <w:sz w:val="24"/>
          <w:szCs w:val="24"/>
          <w14:ligatures w14:val="none"/>
        </w:rPr>
        <w:t>’</w:t>
      </w:r>
      <w:r w:rsidRPr="00FA0766">
        <w:rPr>
          <w:rFonts w:ascii="Times New Roman" w:eastAsia="Times New Roman" w:hAnsi="Times New Roman" w:cs="Times New Roman"/>
          <w:sz w:val="24"/>
          <w:szCs w:val="24"/>
          <w14:ligatures w14:val="none"/>
        </w:rPr>
        <w:t>s questioning of the jurors concerning their ability to remain impartial, during which the court solicited a show of hands to specific questions, and its prompt curative instructions, were appropriate, and the court properly declined to reward defendant</w:t>
      </w:r>
      <w:r w:rsidR="00D56145" w:rsidRPr="00FA0766">
        <w:rPr>
          <w:rFonts w:ascii="Times New Roman" w:eastAsia="Times New Roman" w:hAnsi="Times New Roman" w:cs="Times New Roman"/>
          <w:sz w:val="24"/>
          <w:szCs w:val="24"/>
          <w14:ligatures w14:val="none"/>
        </w:rPr>
        <w:t>’</w:t>
      </w:r>
      <w:r w:rsidRPr="00FA0766">
        <w:rPr>
          <w:rFonts w:ascii="Times New Roman" w:eastAsia="Times New Roman" w:hAnsi="Times New Roman" w:cs="Times New Roman"/>
          <w:sz w:val="24"/>
          <w:szCs w:val="24"/>
          <w14:ligatures w14:val="none"/>
        </w:rPr>
        <w:t>s violent and disruptive conduct with a mistrial</w:t>
      </w:r>
      <w:r w:rsidR="00F65DF6" w:rsidRPr="00FA0766">
        <w:rPr>
          <w:rFonts w:ascii="Times New Roman" w:eastAsia="Times New Roman" w:hAnsi="Times New Roman" w:cs="Times New Roman"/>
          <w:sz w:val="24"/>
          <w:szCs w:val="24"/>
          <w14:ligatures w14:val="none"/>
        </w:rPr>
        <w:t>”</w:t>
      </w:r>
      <w:r w:rsidRPr="00FA0766">
        <w:rPr>
          <w:rFonts w:ascii="Times New Roman" w:eastAsia="Times New Roman" w:hAnsi="Times New Roman" w:cs="Times New Roman"/>
          <w:sz w:val="24"/>
          <w:szCs w:val="24"/>
          <w14:ligatures w14:val="none"/>
        </w:rPr>
        <w:t>].</w:t>
      </w:r>
      <w:r w:rsidR="001549FD" w:rsidRPr="00FA0766">
        <w:rPr>
          <w:rFonts w:ascii="Times New Roman" w:eastAsia="Times New Roman" w:hAnsi="Times New Roman" w:cs="Times New Roman"/>
          <w:sz w:val="24"/>
          <w:szCs w:val="24"/>
          <w14:ligatures w14:val="none"/>
        </w:rPr>
        <w:t>)</w:t>
      </w:r>
    </w:p>
    <w:p w14:paraId="3B687007" w14:textId="77777777" w:rsidR="00BA115D" w:rsidRPr="00FA0766" w:rsidRDefault="00BA115D" w:rsidP="00FA0766">
      <w:pPr>
        <w:shd w:val="clear" w:color="auto" w:fill="FFFFFF"/>
        <w:spacing w:line="276" w:lineRule="auto"/>
        <w:ind w:right="720"/>
        <w:jc w:val="both"/>
        <w:rPr>
          <w:rFonts w:ascii="Times New Roman" w:eastAsia="Times New Roman" w:hAnsi="Times New Roman" w:cs="Times New Roman"/>
          <w:sz w:val="24"/>
          <w:szCs w:val="24"/>
          <w14:ligatures w14:val="none"/>
        </w:rPr>
      </w:pPr>
    </w:p>
    <w:p w14:paraId="662EBA9F" w14:textId="7B012732" w:rsidR="00BA115D" w:rsidRPr="00FA0766" w:rsidRDefault="00BA115D" w:rsidP="00FA0766">
      <w:pPr>
        <w:shd w:val="clear" w:color="auto" w:fill="FFFFFF"/>
        <w:spacing w:line="276" w:lineRule="auto"/>
        <w:jc w:val="both"/>
        <w:rPr>
          <w:rFonts w:ascii="Times New Roman" w:eastAsia="Times New Roman" w:hAnsi="Times New Roman" w:cs="Times New Roman"/>
          <w:sz w:val="24"/>
          <w:szCs w:val="24"/>
          <w14:ligatures w14:val="none"/>
        </w:rPr>
      </w:pPr>
      <w:r w:rsidRPr="00FA0766">
        <w:rPr>
          <w:rFonts w:ascii="Times New Roman" w:eastAsia="Times New Roman" w:hAnsi="Times New Roman" w:cs="Times New Roman"/>
          <w:sz w:val="24"/>
          <w:szCs w:val="24"/>
          <w14:ligatures w14:val="none"/>
        </w:rPr>
        <w:tab/>
      </w:r>
      <w:r w:rsidR="00304C74" w:rsidRPr="00FA0766">
        <w:rPr>
          <w:rFonts w:ascii="Times New Roman" w:eastAsia="Times New Roman" w:hAnsi="Times New Roman" w:cs="Times New Roman"/>
          <w:sz w:val="24"/>
          <w:szCs w:val="24"/>
          <w14:ligatures w14:val="none"/>
        </w:rPr>
        <w:t xml:space="preserve">It is advisable to give the requisite warning outside the presence of the jury. </w:t>
      </w:r>
      <w:r w:rsidR="00B7566F" w:rsidRPr="00FA0766">
        <w:rPr>
          <w:rFonts w:ascii="Times New Roman" w:eastAsia="Times New Roman" w:hAnsi="Times New Roman" w:cs="Times New Roman"/>
          <w:sz w:val="24"/>
          <w:szCs w:val="24"/>
          <w14:ligatures w14:val="none"/>
        </w:rPr>
        <w:t>And the “</w:t>
      </w:r>
      <w:r w:rsidRPr="00FA0766">
        <w:rPr>
          <w:rFonts w:ascii="Times New Roman" w:eastAsia="Times New Roman" w:hAnsi="Times New Roman" w:cs="Times New Roman"/>
          <w:sz w:val="24"/>
          <w:szCs w:val="24"/>
          <w14:ligatures w14:val="none"/>
        </w:rPr>
        <w:t xml:space="preserve">requirement that the court issue a warning </w:t>
      </w:r>
      <w:r w:rsidR="00E6070C" w:rsidRPr="00FA0766">
        <w:rPr>
          <w:rFonts w:ascii="Times New Roman" w:eastAsia="Times New Roman" w:hAnsi="Times New Roman" w:cs="Times New Roman"/>
          <w:sz w:val="24"/>
          <w:szCs w:val="24"/>
          <w14:ligatures w14:val="none"/>
        </w:rPr>
        <w:t>[</w:t>
      </w:r>
      <w:r w:rsidR="009020F5" w:rsidRPr="00FA0766">
        <w:rPr>
          <w:rFonts w:ascii="Times New Roman" w:eastAsia="Times New Roman" w:hAnsi="Times New Roman" w:cs="Times New Roman"/>
          <w:sz w:val="24"/>
          <w:szCs w:val="24"/>
          <w14:ligatures w14:val="none"/>
        </w:rPr>
        <w:t xml:space="preserve">to the defendant] </w:t>
      </w:r>
      <w:r w:rsidRPr="00FA0766">
        <w:rPr>
          <w:rFonts w:ascii="Times New Roman" w:eastAsia="Times New Roman" w:hAnsi="Times New Roman" w:cs="Times New Roman"/>
          <w:sz w:val="24"/>
          <w:szCs w:val="24"/>
          <w14:ligatures w14:val="none"/>
        </w:rPr>
        <w:t>must be satisfied by the court itself, and not by any inference drawn in the mind of the defendant that his directed removal from the courtroom [given by the court to court officers] is, in effect, a warning.”</w:t>
      </w:r>
      <w:r w:rsidRPr="00FA0766">
        <w:rPr>
          <w:rFonts w:ascii="Times New Roman" w:eastAsia="Times New Roman" w:hAnsi="Times New Roman" w:cs="Times New Roman"/>
          <w:i/>
          <w:iCs/>
          <w:sz w:val="24"/>
          <w:szCs w:val="24"/>
          <w14:ligatures w14:val="none"/>
        </w:rPr>
        <w:t xml:space="preserve"> </w:t>
      </w:r>
      <w:r w:rsidR="00396C1F" w:rsidRPr="00FA0766">
        <w:rPr>
          <w:rFonts w:ascii="Times New Roman" w:eastAsia="Times New Roman" w:hAnsi="Times New Roman" w:cs="Times New Roman"/>
          <w:sz w:val="24"/>
          <w:szCs w:val="24"/>
          <w14:ligatures w14:val="none"/>
        </w:rPr>
        <w:t>(</w:t>
      </w:r>
      <w:r w:rsidRPr="00FA0766">
        <w:rPr>
          <w:rFonts w:ascii="Times New Roman" w:eastAsia="Times New Roman" w:hAnsi="Times New Roman" w:cs="Times New Roman"/>
          <w:i/>
          <w:iCs/>
          <w:sz w:val="24"/>
          <w:szCs w:val="24"/>
          <w14:ligatures w14:val="none"/>
        </w:rPr>
        <w:t>People v Antoine</w:t>
      </w:r>
      <w:r w:rsidRPr="00FA0766">
        <w:rPr>
          <w:rFonts w:ascii="Times New Roman" w:eastAsia="Times New Roman" w:hAnsi="Times New Roman" w:cs="Times New Roman"/>
          <w:sz w:val="24"/>
          <w:szCs w:val="24"/>
          <w14:ligatures w14:val="none"/>
        </w:rPr>
        <w:t>, 189 AD3d 1445, 1447 [2d Dept 2020]</w:t>
      </w:r>
      <w:r w:rsidR="00327CDB" w:rsidRPr="00FA0766">
        <w:rPr>
          <w:rFonts w:ascii="Times New Roman" w:eastAsia="Times New Roman" w:hAnsi="Times New Roman" w:cs="Times New Roman"/>
          <w:sz w:val="24"/>
          <w:szCs w:val="24"/>
          <w14:ligatures w14:val="none"/>
        </w:rPr>
        <w:t>.</w:t>
      </w:r>
      <w:r w:rsidR="00396C1F" w:rsidRPr="00FA0766">
        <w:rPr>
          <w:rFonts w:ascii="Times New Roman" w:eastAsia="Times New Roman" w:hAnsi="Times New Roman" w:cs="Times New Roman"/>
          <w:sz w:val="24"/>
          <w:szCs w:val="24"/>
          <w14:ligatures w14:val="none"/>
        </w:rPr>
        <w:t>)</w:t>
      </w:r>
    </w:p>
    <w:p w14:paraId="4A3740BF" w14:textId="29BA5196" w:rsidR="0008031E" w:rsidRPr="00FA0766" w:rsidRDefault="0008031E" w:rsidP="00FA0766">
      <w:pPr>
        <w:shd w:val="clear" w:color="auto" w:fill="FFFFFF"/>
        <w:spacing w:line="276" w:lineRule="auto"/>
        <w:ind w:right="720"/>
        <w:jc w:val="both"/>
        <w:rPr>
          <w:rFonts w:ascii="Times New Roman" w:eastAsia="Times New Roman" w:hAnsi="Times New Roman" w:cs="Times New Roman"/>
          <w:sz w:val="24"/>
          <w:szCs w:val="24"/>
          <w14:ligatures w14:val="none"/>
        </w:rPr>
      </w:pPr>
    </w:p>
    <w:p w14:paraId="26A0FB5D" w14:textId="220B88A6" w:rsidR="006629DC" w:rsidRPr="00FA0766" w:rsidRDefault="00E831E9" w:rsidP="00FA0766">
      <w:pPr>
        <w:shd w:val="clear" w:color="auto" w:fill="FFFFFF"/>
        <w:spacing w:line="276" w:lineRule="auto"/>
        <w:jc w:val="both"/>
        <w:rPr>
          <w:rFonts w:ascii="Times New Roman" w:hAnsi="Times New Roman" w:cs="Times New Roman"/>
          <w:sz w:val="24"/>
          <w:szCs w:val="24"/>
        </w:rPr>
      </w:pPr>
      <w:r w:rsidRPr="00FA0766">
        <w:rPr>
          <w:rFonts w:ascii="Times New Roman" w:hAnsi="Times New Roman" w:cs="Times New Roman"/>
          <w:sz w:val="24"/>
          <w:szCs w:val="24"/>
        </w:rPr>
        <w:tab/>
        <w:t xml:space="preserve">The failure to adhere to the </w:t>
      </w:r>
      <w:r w:rsidR="007A35D5" w:rsidRPr="00FA0766">
        <w:rPr>
          <w:rFonts w:ascii="Times New Roman" w:hAnsi="Times New Roman" w:cs="Times New Roman"/>
          <w:sz w:val="24"/>
          <w:szCs w:val="24"/>
        </w:rPr>
        <w:t>statutory</w:t>
      </w:r>
      <w:r w:rsidRPr="00FA0766">
        <w:rPr>
          <w:rFonts w:ascii="Times New Roman" w:hAnsi="Times New Roman" w:cs="Times New Roman"/>
          <w:sz w:val="24"/>
          <w:szCs w:val="24"/>
        </w:rPr>
        <w:t xml:space="preserve"> requirement that the defendant be warned “by the court that he will be removed if he </w:t>
      </w:r>
      <w:r w:rsidR="003E648E" w:rsidRPr="00FA0766">
        <w:rPr>
          <w:rFonts w:ascii="Times New Roman" w:hAnsi="Times New Roman" w:cs="Times New Roman"/>
          <w:sz w:val="24"/>
          <w:szCs w:val="24"/>
        </w:rPr>
        <w:t>continues</w:t>
      </w:r>
      <w:r w:rsidRPr="00FA0766">
        <w:rPr>
          <w:rFonts w:ascii="Times New Roman" w:hAnsi="Times New Roman" w:cs="Times New Roman"/>
          <w:sz w:val="24"/>
          <w:szCs w:val="24"/>
        </w:rPr>
        <w:t xml:space="preserve"> such conduct” </w:t>
      </w:r>
      <w:r w:rsidR="0015722E" w:rsidRPr="00FA0766">
        <w:rPr>
          <w:rFonts w:ascii="Times New Roman" w:hAnsi="Times New Roman" w:cs="Times New Roman"/>
          <w:sz w:val="24"/>
          <w:szCs w:val="24"/>
        </w:rPr>
        <w:t xml:space="preserve">will, </w:t>
      </w:r>
      <w:r w:rsidR="008F3869" w:rsidRPr="00FA0766">
        <w:rPr>
          <w:rFonts w:ascii="Times New Roman" w:hAnsi="Times New Roman" w:cs="Times New Roman"/>
          <w:sz w:val="24"/>
          <w:szCs w:val="24"/>
        </w:rPr>
        <w:t>absent an exceptional circumstance, warrant reversal.</w:t>
      </w:r>
      <w:r w:rsidR="0015722E" w:rsidRPr="00FA0766">
        <w:rPr>
          <w:rFonts w:ascii="Times New Roman" w:hAnsi="Times New Roman" w:cs="Times New Roman"/>
          <w:sz w:val="24"/>
          <w:szCs w:val="24"/>
        </w:rPr>
        <w:t xml:space="preserve"> (</w:t>
      </w:r>
      <w:r w:rsidR="00C97E62" w:rsidRPr="00FA0766">
        <w:rPr>
          <w:rFonts w:ascii="Times New Roman" w:hAnsi="Times New Roman" w:cs="Times New Roman"/>
          <w:i/>
          <w:iCs/>
          <w:sz w:val="24"/>
          <w:szCs w:val="24"/>
        </w:rPr>
        <w:t>People v Brown</w:t>
      </w:r>
      <w:r w:rsidR="00C97E62" w:rsidRPr="00FA0766">
        <w:rPr>
          <w:rFonts w:ascii="Times New Roman" w:hAnsi="Times New Roman" w:cs="Times New Roman"/>
          <w:sz w:val="24"/>
          <w:szCs w:val="24"/>
        </w:rPr>
        <w:t xml:space="preserve">, 192 AD3d 1603, 1604 </w:t>
      </w:r>
      <w:r w:rsidR="0015722E" w:rsidRPr="00FA0766">
        <w:rPr>
          <w:rFonts w:ascii="Times New Roman" w:hAnsi="Times New Roman" w:cs="Times New Roman"/>
          <w:sz w:val="24"/>
          <w:szCs w:val="24"/>
        </w:rPr>
        <w:t>[</w:t>
      </w:r>
      <w:r w:rsidR="00327CDB" w:rsidRPr="00FA0766">
        <w:rPr>
          <w:rFonts w:ascii="Times New Roman" w:hAnsi="Times New Roman" w:cs="Times New Roman"/>
          <w:sz w:val="24"/>
          <w:szCs w:val="24"/>
        </w:rPr>
        <w:t xml:space="preserve">4th </w:t>
      </w:r>
      <w:r w:rsidR="00C97E62" w:rsidRPr="00FA0766">
        <w:rPr>
          <w:rFonts w:ascii="Times New Roman" w:hAnsi="Times New Roman" w:cs="Times New Roman"/>
          <w:sz w:val="24"/>
          <w:szCs w:val="24"/>
        </w:rPr>
        <w:t>Dept 2021</w:t>
      </w:r>
      <w:r w:rsidR="0015722E" w:rsidRPr="00FA0766">
        <w:rPr>
          <w:rFonts w:ascii="Times New Roman" w:hAnsi="Times New Roman" w:cs="Times New Roman"/>
          <w:sz w:val="24"/>
          <w:szCs w:val="24"/>
        </w:rPr>
        <w:t>]</w:t>
      </w:r>
      <w:r w:rsidR="00C97E62" w:rsidRPr="00FA0766">
        <w:rPr>
          <w:rFonts w:ascii="Times New Roman" w:hAnsi="Times New Roman" w:cs="Times New Roman"/>
          <w:sz w:val="24"/>
          <w:szCs w:val="24"/>
        </w:rPr>
        <w:t xml:space="preserve"> [“the court erred in removing defendant from the courtroom without first warning him that he would be removed if he continued his disruptive behavior”]; </w:t>
      </w:r>
      <w:r w:rsidR="00C97E62" w:rsidRPr="00FA0766">
        <w:rPr>
          <w:rFonts w:ascii="Times New Roman" w:hAnsi="Times New Roman" w:cs="Times New Roman"/>
          <w:i/>
          <w:iCs/>
          <w:sz w:val="24"/>
          <w:szCs w:val="24"/>
        </w:rPr>
        <w:t>People v Burton</w:t>
      </w:r>
      <w:r w:rsidR="00C97E62" w:rsidRPr="00FA0766">
        <w:rPr>
          <w:rFonts w:ascii="Times New Roman" w:hAnsi="Times New Roman" w:cs="Times New Roman"/>
          <w:sz w:val="24"/>
          <w:szCs w:val="24"/>
        </w:rPr>
        <w:t xml:space="preserve">, 138 AD3d 882, 884 </w:t>
      </w:r>
      <w:r w:rsidR="00426ABC" w:rsidRPr="00FA0766">
        <w:rPr>
          <w:rFonts w:ascii="Times New Roman" w:hAnsi="Times New Roman" w:cs="Times New Roman"/>
          <w:sz w:val="24"/>
          <w:szCs w:val="24"/>
        </w:rPr>
        <w:t>[</w:t>
      </w:r>
      <w:r w:rsidR="00C97E62" w:rsidRPr="00FA0766">
        <w:rPr>
          <w:rFonts w:ascii="Times New Roman" w:hAnsi="Times New Roman" w:cs="Times New Roman"/>
          <w:sz w:val="24"/>
          <w:szCs w:val="24"/>
        </w:rPr>
        <w:t>2d Dept</w:t>
      </w:r>
      <w:r w:rsidR="00426ABC" w:rsidRPr="00FA0766">
        <w:rPr>
          <w:rFonts w:ascii="Times New Roman" w:hAnsi="Times New Roman" w:cs="Times New Roman"/>
          <w:sz w:val="24"/>
          <w:szCs w:val="24"/>
        </w:rPr>
        <w:t xml:space="preserve"> </w:t>
      </w:r>
      <w:r w:rsidR="00C97E62" w:rsidRPr="00FA0766">
        <w:rPr>
          <w:rFonts w:ascii="Times New Roman" w:hAnsi="Times New Roman" w:cs="Times New Roman"/>
          <w:sz w:val="24"/>
          <w:szCs w:val="24"/>
        </w:rPr>
        <w:t>2016</w:t>
      </w:r>
      <w:r w:rsidR="0015722E" w:rsidRPr="00FA0766">
        <w:rPr>
          <w:rFonts w:ascii="Times New Roman" w:hAnsi="Times New Roman" w:cs="Times New Roman"/>
          <w:sz w:val="24"/>
          <w:szCs w:val="24"/>
        </w:rPr>
        <w:t>] [</w:t>
      </w:r>
      <w:r w:rsidR="00C97E62" w:rsidRPr="00FA0766">
        <w:rPr>
          <w:rFonts w:ascii="Times New Roman" w:hAnsi="Times New Roman" w:cs="Times New Roman"/>
          <w:sz w:val="24"/>
          <w:szCs w:val="24"/>
        </w:rPr>
        <w:t>“the trial court erred in removing the defendant from the courtroom without first warning him that he would be removed if he continued his disruptive behavior</w:t>
      </w:r>
      <w:r w:rsidR="0063120E" w:rsidRPr="00FA0766">
        <w:rPr>
          <w:rFonts w:ascii="Times New Roman" w:hAnsi="Times New Roman" w:cs="Times New Roman"/>
          <w:sz w:val="24"/>
          <w:szCs w:val="24"/>
        </w:rPr>
        <w:t>”]</w:t>
      </w:r>
      <w:r w:rsidR="00327CDB" w:rsidRPr="00FA0766">
        <w:rPr>
          <w:rFonts w:ascii="Times New Roman" w:hAnsi="Times New Roman" w:cs="Times New Roman"/>
          <w:sz w:val="24"/>
          <w:szCs w:val="24"/>
        </w:rPr>
        <w:t>.</w:t>
      </w:r>
      <w:r w:rsidR="0063120E" w:rsidRPr="00FA0766">
        <w:rPr>
          <w:rFonts w:ascii="Times New Roman" w:hAnsi="Times New Roman" w:cs="Times New Roman"/>
          <w:sz w:val="24"/>
          <w:szCs w:val="24"/>
        </w:rPr>
        <w:t>)</w:t>
      </w:r>
    </w:p>
    <w:p w14:paraId="6E88AAAA" w14:textId="77777777" w:rsidR="0063120E" w:rsidRPr="00FA0766" w:rsidRDefault="0063120E" w:rsidP="00FA0766">
      <w:pPr>
        <w:shd w:val="clear" w:color="auto" w:fill="FFFFFF"/>
        <w:spacing w:line="276" w:lineRule="auto"/>
        <w:ind w:right="720"/>
        <w:jc w:val="both"/>
        <w:rPr>
          <w:rFonts w:ascii="Times New Roman" w:hAnsi="Times New Roman" w:cs="Times New Roman"/>
          <w:sz w:val="24"/>
          <w:szCs w:val="24"/>
        </w:rPr>
      </w:pPr>
    </w:p>
    <w:p w14:paraId="4C8FC1E8" w14:textId="026EADEA" w:rsidR="00B153BA" w:rsidRPr="00FA0766" w:rsidRDefault="002A3175" w:rsidP="00FA0766">
      <w:pPr>
        <w:shd w:val="clear" w:color="auto" w:fill="FFFFFF"/>
        <w:spacing w:line="276" w:lineRule="auto"/>
        <w:jc w:val="both"/>
        <w:rPr>
          <w:rFonts w:ascii="Times New Roman" w:eastAsia="Times New Roman" w:hAnsi="Times New Roman" w:cs="Times New Roman"/>
          <w:sz w:val="24"/>
          <w:szCs w:val="24"/>
          <w14:ligatures w14:val="none"/>
        </w:rPr>
      </w:pPr>
      <w:r w:rsidRPr="00FA0766">
        <w:rPr>
          <w:rFonts w:ascii="Times New Roman" w:hAnsi="Times New Roman" w:cs="Times New Roman"/>
          <w:sz w:val="24"/>
          <w:szCs w:val="24"/>
        </w:rPr>
        <w:tab/>
      </w:r>
      <w:r w:rsidR="00305799" w:rsidRPr="00FA0766">
        <w:rPr>
          <w:rFonts w:ascii="Times New Roman" w:hAnsi="Times New Roman" w:cs="Times New Roman"/>
          <w:sz w:val="24"/>
          <w:szCs w:val="24"/>
        </w:rPr>
        <w:t>Exceptional circumstance</w:t>
      </w:r>
      <w:r w:rsidR="003268DD" w:rsidRPr="00FA0766">
        <w:rPr>
          <w:rFonts w:ascii="Times New Roman" w:hAnsi="Times New Roman" w:cs="Times New Roman"/>
          <w:sz w:val="24"/>
          <w:szCs w:val="24"/>
        </w:rPr>
        <w:t>s</w:t>
      </w:r>
      <w:r w:rsidR="00305799" w:rsidRPr="00FA0766">
        <w:rPr>
          <w:rFonts w:ascii="Times New Roman" w:hAnsi="Times New Roman" w:cs="Times New Roman"/>
          <w:sz w:val="24"/>
          <w:szCs w:val="24"/>
        </w:rPr>
        <w:t xml:space="preserve"> </w:t>
      </w:r>
      <w:r w:rsidR="00BB3A70" w:rsidRPr="00FA0766">
        <w:rPr>
          <w:rFonts w:ascii="Times New Roman" w:hAnsi="Times New Roman" w:cs="Times New Roman"/>
          <w:sz w:val="24"/>
          <w:szCs w:val="24"/>
        </w:rPr>
        <w:t xml:space="preserve">that </w:t>
      </w:r>
      <w:r w:rsidR="00B47EA5" w:rsidRPr="00FA0766">
        <w:rPr>
          <w:rFonts w:ascii="Times New Roman" w:hAnsi="Times New Roman" w:cs="Times New Roman"/>
          <w:sz w:val="24"/>
          <w:szCs w:val="24"/>
        </w:rPr>
        <w:t>may excuse</w:t>
      </w:r>
      <w:r w:rsidR="00305799" w:rsidRPr="00FA0766">
        <w:rPr>
          <w:rFonts w:ascii="Times New Roman" w:hAnsi="Times New Roman" w:cs="Times New Roman"/>
          <w:sz w:val="24"/>
          <w:szCs w:val="24"/>
        </w:rPr>
        <w:t xml:space="preserve"> the giving of the warn</w:t>
      </w:r>
      <w:r w:rsidR="009D4F2A" w:rsidRPr="00FA0766">
        <w:rPr>
          <w:rFonts w:ascii="Times New Roman" w:hAnsi="Times New Roman" w:cs="Times New Roman"/>
          <w:sz w:val="24"/>
          <w:szCs w:val="24"/>
        </w:rPr>
        <w:t xml:space="preserve">ing </w:t>
      </w:r>
      <w:r w:rsidR="00305799" w:rsidRPr="00FA0766">
        <w:rPr>
          <w:rFonts w:ascii="Times New Roman" w:hAnsi="Times New Roman" w:cs="Times New Roman"/>
          <w:sz w:val="24"/>
          <w:szCs w:val="24"/>
        </w:rPr>
        <w:t>include</w:t>
      </w:r>
      <w:r w:rsidRPr="00FA0766">
        <w:rPr>
          <w:rFonts w:ascii="Times New Roman" w:hAnsi="Times New Roman" w:cs="Times New Roman"/>
          <w:sz w:val="24"/>
          <w:szCs w:val="24"/>
        </w:rPr>
        <w:t>, for example</w:t>
      </w:r>
      <w:r w:rsidR="009D4F2A" w:rsidRPr="00FA0766">
        <w:rPr>
          <w:rFonts w:ascii="Times New Roman" w:hAnsi="Times New Roman" w:cs="Times New Roman"/>
          <w:sz w:val="24"/>
          <w:szCs w:val="24"/>
        </w:rPr>
        <w:t>,</w:t>
      </w:r>
      <w:r w:rsidRPr="00FA0766">
        <w:rPr>
          <w:rFonts w:ascii="Times New Roman" w:hAnsi="Times New Roman" w:cs="Times New Roman"/>
          <w:sz w:val="24"/>
          <w:szCs w:val="24"/>
        </w:rPr>
        <w:t xml:space="preserve"> conduct that is so violent </w:t>
      </w:r>
      <w:r w:rsidR="00305799" w:rsidRPr="00FA0766">
        <w:rPr>
          <w:rFonts w:ascii="Times New Roman" w:hAnsi="Times New Roman" w:cs="Times New Roman"/>
          <w:sz w:val="24"/>
          <w:szCs w:val="24"/>
        </w:rPr>
        <w:t xml:space="preserve">and ongoing </w:t>
      </w:r>
      <w:r w:rsidRPr="00FA0766">
        <w:rPr>
          <w:rFonts w:ascii="Times New Roman" w:hAnsi="Times New Roman" w:cs="Times New Roman"/>
          <w:sz w:val="24"/>
          <w:szCs w:val="24"/>
        </w:rPr>
        <w:t>as to</w:t>
      </w:r>
      <w:r w:rsidR="00247F6E" w:rsidRPr="00FA0766">
        <w:rPr>
          <w:rFonts w:ascii="Times New Roman" w:hAnsi="Times New Roman" w:cs="Times New Roman"/>
          <w:sz w:val="24"/>
          <w:szCs w:val="24"/>
        </w:rPr>
        <w:t xml:space="preserve"> </w:t>
      </w:r>
      <w:r w:rsidR="005F37AA" w:rsidRPr="00FA0766">
        <w:rPr>
          <w:rFonts w:ascii="Times New Roman" w:hAnsi="Times New Roman" w:cs="Times New Roman"/>
          <w:sz w:val="24"/>
          <w:szCs w:val="24"/>
        </w:rPr>
        <w:t xml:space="preserve">necessitate the defendant’s immediate removal and accordingly </w:t>
      </w:r>
      <w:r w:rsidR="00247F6E" w:rsidRPr="00FA0766">
        <w:rPr>
          <w:rFonts w:ascii="Times New Roman" w:hAnsi="Times New Roman" w:cs="Times New Roman"/>
          <w:sz w:val="24"/>
          <w:szCs w:val="24"/>
        </w:rPr>
        <w:t xml:space="preserve">preclude </w:t>
      </w:r>
      <w:r w:rsidR="0014799A" w:rsidRPr="00FA0766">
        <w:rPr>
          <w:rFonts w:ascii="Times New Roman" w:hAnsi="Times New Roman" w:cs="Times New Roman"/>
          <w:sz w:val="24"/>
          <w:szCs w:val="24"/>
        </w:rPr>
        <w:t xml:space="preserve">the </w:t>
      </w:r>
      <w:r w:rsidR="00247F6E" w:rsidRPr="00FA0766">
        <w:rPr>
          <w:rFonts w:ascii="Times New Roman" w:hAnsi="Times New Roman" w:cs="Times New Roman"/>
          <w:sz w:val="24"/>
          <w:szCs w:val="24"/>
        </w:rPr>
        <w:t xml:space="preserve">giving </w:t>
      </w:r>
      <w:r w:rsidR="0014799A" w:rsidRPr="00FA0766">
        <w:rPr>
          <w:rFonts w:ascii="Times New Roman" w:hAnsi="Times New Roman" w:cs="Times New Roman"/>
          <w:sz w:val="24"/>
          <w:szCs w:val="24"/>
        </w:rPr>
        <w:t xml:space="preserve">of a </w:t>
      </w:r>
      <w:r w:rsidR="00247F6E" w:rsidRPr="00FA0766">
        <w:rPr>
          <w:rFonts w:ascii="Times New Roman" w:hAnsi="Times New Roman" w:cs="Times New Roman"/>
          <w:sz w:val="24"/>
          <w:szCs w:val="24"/>
        </w:rPr>
        <w:t>warning</w:t>
      </w:r>
      <w:r w:rsidR="005826DE" w:rsidRPr="00FA0766">
        <w:rPr>
          <w:rFonts w:ascii="Times New Roman" w:hAnsi="Times New Roman" w:cs="Times New Roman"/>
          <w:sz w:val="24"/>
          <w:szCs w:val="24"/>
        </w:rPr>
        <w:t>.</w:t>
      </w:r>
      <w:r w:rsidR="00247F6E" w:rsidRPr="00FA0766">
        <w:rPr>
          <w:rFonts w:ascii="Times New Roman" w:hAnsi="Times New Roman" w:cs="Times New Roman"/>
          <w:sz w:val="24"/>
          <w:szCs w:val="24"/>
        </w:rPr>
        <w:t xml:space="preserve"> </w:t>
      </w:r>
      <w:r w:rsidR="00426ABC" w:rsidRPr="00FA0766">
        <w:rPr>
          <w:rFonts w:ascii="Times New Roman" w:hAnsi="Times New Roman" w:cs="Times New Roman"/>
          <w:sz w:val="24"/>
          <w:szCs w:val="24"/>
        </w:rPr>
        <w:t>(</w:t>
      </w:r>
      <w:r w:rsidR="00DA7D4D" w:rsidRPr="00FA0766">
        <w:rPr>
          <w:rFonts w:ascii="Times New Roman" w:hAnsi="Times New Roman" w:cs="Times New Roman"/>
          <w:i/>
          <w:iCs/>
          <w:sz w:val="24"/>
          <w:szCs w:val="24"/>
        </w:rPr>
        <w:t>E.g.</w:t>
      </w:r>
      <w:r w:rsidR="00C97E62" w:rsidRPr="00FA0766">
        <w:rPr>
          <w:rFonts w:ascii="Times New Roman" w:hAnsi="Times New Roman" w:cs="Times New Roman"/>
          <w:i/>
          <w:iCs/>
          <w:sz w:val="24"/>
          <w:szCs w:val="24"/>
        </w:rPr>
        <w:t xml:space="preserve"> People v Wilkins</w:t>
      </w:r>
      <w:r w:rsidR="00C97E62" w:rsidRPr="00FA0766">
        <w:rPr>
          <w:rFonts w:ascii="Times New Roman" w:hAnsi="Times New Roman" w:cs="Times New Roman"/>
          <w:sz w:val="24"/>
          <w:szCs w:val="24"/>
        </w:rPr>
        <w:t xml:space="preserve">, 33 AD3d 409, 410 </w:t>
      </w:r>
      <w:r w:rsidR="00426ABC" w:rsidRPr="00FA0766">
        <w:rPr>
          <w:rFonts w:ascii="Times New Roman" w:hAnsi="Times New Roman" w:cs="Times New Roman"/>
          <w:sz w:val="24"/>
          <w:szCs w:val="24"/>
        </w:rPr>
        <w:t xml:space="preserve">[1st </w:t>
      </w:r>
      <w:r w:rsidR="00C97E62" w:rsidRPr="00FA0766">
        <w:rPr>
          <w:rFonts w:ascii="Times New Roman" w:hAnsi="Times New Roman" w:cs="Times New Roman"/>
          <w:sz w:val="24"/>
          <w:szCs w:val="24"/>
        </w:rPr>
        <w:t>Dept 2006</w:t>
      </w:r>
      <w:r w:rsidR="00426ABC" w:rsidRPr="00FA0766">
        <w:rPr>
          <w:rFonts w:ascii="Times New Roman" w:hAnsi="Times New Roman" w:cs="Times New Roman"/>
          <w:sz w:val="24"/>
          <w:szCs w:val="24"/>
        </w:rPr>
        <w:t>]</w:t>
      </w:r>
      <w:r w:rsidR="00C97E62" w:rsidRPr="00FA0766">
        <w:rPr>
          <w:rFonts w:ascii="Times New Roman" w:hAnsi="Times New Roman" w:cs="Times New Roman"/>
          <w:sz w:val="24"/>
          <w:szCs w:val="24"/>
        </w:rPr>
        <w:t xml:space="preserve"> [“Here, defendant</w:t>
      </w:r>
      <w:r w:rsidR="00D56145" w:rsidRPr="00FA0766">
        <w:rPr>
          <w:rFonts w:ascii="Times New Roman" w:hAnsi="Times New Roman" w:cs="Times New Roman"/>
          <w:sz w:val="24"/>
          <w:szCs w:val="24"/>
        </w:rPr>
        <w:t>’</w:t>
      </w:r>
      <w:r w:rsidR="00C97E62" w:rsidRPr="00FA0766">
        <w:rPr>
          <w:rFonts w:ascii="Times New Roman" w:hAnsi="Times New Roman" w:cs="Times New Roman"/>
          <w:sz w:val="24"/>
          <w:szCs w:val="24"/>
        </w:rPr>
        <w:t xml:space="preserve">s violent behavior in the courtroom went far beyond mere disruption, and created an emergency necessitating his immediate removal. Under the circumstances, the court had no practical opportunity to issue a verbal warning that defendant would </w:t>
      </w:r>
      <w:r w:rsidR="00C97E62" w:rsidRPr="00FA0766">
        <w:rPr>
          <w:rFonts w:ascii="Times New Roman" w:hAnsi="Times New Roman" w:cs="Times New Roman"/>
          <w:sz w:val="24"/>
          <w:szCs w:val="24"/>
        </w:rPr>
        <w:lastRenderedPageBreak/>
        <w:t>be removed if he continued to engage in such conduct, and it appears that such a warning would have serve</w:t>
      </w:r>
      <w:r w:rsidR="00B13CB7" w:rsidRPr="00FA0766">
        <w:rPr>
          <w:rFonts w:ascii="Times New Roman" w:hAnsi="Times New Roman" w:cs="Times New Roman"/>
          <w:sz w:val="24"/>
          <w:szCs w:val="24"/>
        </w:rPr>
        <w:t>d</w:t>
      </w:r>
      <w:r w:rsidR="00C97E62" w:rsidRPr="00FA0766">
        <w:rPr>
          <w:rFonts w:ascii="Times New Roman" w:hAnsi="Times New Roman" w:cs="Times New Roman"/>
          <w:sz w:val="24"/>
          <w:szCs w:val="24"/>
        </w:rPr>
        <w:t xml:space="preserve"> no purpose”]; </w:t>
      </w:r>
      <w:r w:rsidR="005D2DB1" w:rsidRPr="00FA0766">
        <w:rPr>
          <w:rFonts w:ascii="Times New Roman" w:eastAsia="Times New Roman" w:hAnsi="Times New Roman" w:cs="Times New Roman"/>
          <w:i/>
          <w:iCs/>
          <w:sz w:val="24"/>
          <w:szCs w:val="24"/>
          <w14:ligatures w14:val="none"/>
        </w:rPr>
        <w:t>People v Hendrix</w:t>
      </w:r>
      <w:r w:rsidR="005D2DB1" w:rsidRPr="00FA0766">
        <w:rPr>
          <w:rFonts w:ascii="Times New Roman" w:eastAsia="Times New Roman" w:hAnsi="Times New Roman" w:cs="Times New Roman"/>
          <w:sz w:val="24"/>
          <w:szCs w:val="24"/>
          <w14:ligatures w14:val="none"/>
        </w:rPr>
        <w:t>, 63 AD3d 958</w:t>
      </w:r>
      <w:r w:rsidR="00ED6401" w:rsidRPr="00FA0766">
        <w:rPr>
          <w:rFonts w:ascii="Times New Roman" w:eastAsia="Times New Roman" w:hAnsi="Times New Roman" w:cs="Times New Roman"/>
          <w:sz w:val="24"/>
          <w:szCs w:val="24"/>
          <w14:ligatures w14:val="none"/>
        </w:rPr>
        <w:t>, 958</w:t>
      </w:r>
      <w:r w:rsidR="005D2DB1" w:rsidRPr="00FA0766">
        <w:rPr>
          <w:rFonts w:ascii="Times New Roman" w:eastAsia="Times New Roman" w:hAnsi="Times New Roman" w:cs="Times New Roman"/>
          <w:sz w:val="24"/>
          <w:szCs w:val="24"/>
          <w14:ligatures w14:val="none"/>
        </w:rPr>
        <w:t xml:space="preserve"> [2d Dept 2009] [</w:t>
      </w:r>
      <w:r w:rsidR="00ED6401" w:rsidRPr="00FA0766">
        <w:rPr>
          <w:rFonts w:ascii="Times New Roman" w:eastAsia="Times New Roman" w:hAnsi="Times New Roman" w:cs="Times New Roman"/>
          <w:sz w:val="24"/>
          <w:szCs w:val="24"/>
          <w14:ligatures w14:val="none"/>
        </w:rPr>
        <w:t>“</w:t>
      </w:r>
      <w:r w:rsidR="005D2DB1" w:rsidRPr="00FA0766">
        <w:rPr>
          <w:rFonts w:ascii="Times New Roman" w:eastAsia="Times New Roman" w:hAnsi="Times New Roman" w:cs="Times New Roman"/>
          <w:sz w:val="24"/>
          <w:szCs w:val="24"/>
          <w14:ligatures w14:val="none"/>
        </w:rPr>
        <w:t>t</w:t>
      </w:r>
      <w:r w:rsidR="00824981" w:rsidRPr="00FA0766">
        <w:rPr>
          <w:rFonts w:ascii="Times New Roman" w:eastAsia="Times New Roman" w:hAnsi="Times New Roman" w:cs="Times New Roman"/>
          <w:sz w:val="24"/>
          <w:szCs w:val="24"/>
          <w14:ligatures w14:val="none"/>
        </w:rPr>
        <w:t>he</w:t>
      </w:r>
      <w:r w:rsidR="00ED6401" w:rsidRPr="00FA0766">
        <w:rPr>
          <w:rFonts w:ascii="Times New Roman" w:eastAsia="Times New Roman" w:hAnsi="Times New Roman" w:cs="Times New Roman"/>
          <w:sz w:val="24"/>
          <w:szCs w:val="24"/>
          <w14:ligatures w14:val="none"/>
        </w:rPr>
        <w:t xml:space="preserve"> defendant suddenly leapt onto the defense table, and proceeded towards the bench”].</w:t>
      </w:r>
      <w:r w:rsidR="001A7A16" w:rsidRPr="00FA0766">
        <w:rPr>
          <w:rFonts w:ascii="Times New Roman" w:eastAsia="Times New Roman" w:hAnsi="Times New Roman" w:cs="Times New Roman"/>
          <w:sz w:val="24"/>
          <w:szCs w:val="24"/>
          <w14:ligatures w14:val="none"/>
        </w:rPr>
        <w:t>)</w:t>
      </w:r>
      <w:r w:rsidR="00ED6401" w:rsidRPr="00FA0766">
        <w:rPr>
          <w:rFonts w:ascii="Times New Roman" w:eastAsia="Times New Roman" w:hAnsi="Times New Roman" w:cs="Times New Roman"/>
          <w:sz w:val="24"/>
          <w:szCs w:val="24"/>
          <w14:ligatures w14:val="none"/>
        </w:rPr>
        <w:t xml:space="preserve"> Other exceptional circumstances may </w:t>
      </w:r>
      <w:r w:rsidR="001E6574" w:rsidRPr="00FA0766">
        <w:rPr>
          <w:rFonts w:ascii="Times New Roman" w:eastAsia="Times New Roman" w:hAnsi="Times New Roman" w:cs="Times New Roman"/>
          <w:sz w:val="24"/>
          <w:szCs w:val="24"/>
          <w14:ligatures w14:val="none"/>
        </w:rPr>
        <w:t>excuse the failure to give the defendant</w:t>
      </w:r>
      <w:r w:rsidR="009252B1" w:rsidRPr="00FA0766">
        <w:rPr>
          <w:rFonts w:ascii="Times New Roman" w:eastAsia="Times New Roman" w:hAnsi="Times New Roman" w:cs="Times New Roman"/>
          <w:sz w:val="24"/>
          <w:szCs w:val="24"/>
          <w14:ligatures w14:val="none"/>
        </w:rPr>
        <w:t xml:space="preserve"> the </w:t>
      </w:r>
      <w:r w:rsidR="001E6574" w:rsidRPr="00FA0766">
        <w:rPr>
          <w:rFonts w:ascii="Times New Roman" w:eastAsia="Times New Roman" w:hAnsi="Times New Roman" w:cs="Times New Roman"/>
          <w:sz w:val="24"/>
          <w:szCs w:val="24"/>
          <w14:ligatures w14:val="none"/>
        </w:rPr>
        <w:t xml:space="preserve">statutory warning. </w:t>
      </w:r>
      <w:r w:rsidR="00095689" w:rsidRPr="00FA0766">
        <w:rPr>
          <w:rFonts w:ascii="Times New Roman" w:eastAsia="Times New Roman" w:hAnsi="Times New Roman" w:cs="Times New Roman"/>
          <w:sz w:val="24"/>
          <w:szCs w:val="24"/>
          <w14:ligatures w14:val="none"/>
        </w:rPr>
        <w:t>(</w:t>
      </w:r>
      <w:r w:rsidR="001E6574" w:rsidRPr="00FA0766">
        <w:rPr>
          <w:rFonts w:ascii="Times New Roman" w:eastAsia="Times New Roman" w:hAnsi="Times New Roman" w:cs="Times New Roman"/>
          <w:i/>
          <w:iCs/>
          <w:sz w:val="24"/>
          <w:szCs w:val="24"/>
          <w14:ligatures w14:val="none"/>
        </w:rPr>
        <w:t>E.g.</w:t>
      </w:r>
      <w:r w:rsidR="001E6574" w:rsidRPr="00FA0766">
        <w:rPr>
          <w:rFonts w:ascii="Times New Roman" w:eastAsia="Times New Roman" w:hAnsi="Times New Roman" w:cs="Times New Roman"/>
          <w:sz w:val="24"/>
          <w:szCs w:val="24"/>
          <w14:ligatures w14:val="none"/>
        </w:rPr>
        <w:t xml:space="preserve"> </w:t>
      </w:r>
      <w:r w:rsidR="00C97E62" w:rsidRPr="00FA0766">
        <w:rPr>
          <w:rFonts w:ascii="Times New Roman" w:hAnsi="Times New Roman" w:cs="Times New Roman"/>
          <w:i/>
          <w:iCs/>
          <w:sz w:val="24"/>
          <w:szCs w:val="24"/>
        </w:rPr>
        <w:t>People v Baldwin</w:t>
      </w:r>
      <w:r w:rsidR="00C97E62" w:rsidRPr="00FA0766">
        <w:rPr>
          <w:rFonts w:ascii="Times New Roman" w:hAnsi="Times New Roman" w:cs="Times New Roman"/>
          <w:sz w:val="24"/>
          <w:szCs w:val="24"/>
        </w:rPr>
        <w:t>, 277 AD2d 134, 134</w:t>
      </w:r>
      <w:r w:rsidR="00317485" w:rsidRPr="00FA0766">
        <w:rPr>
          <w:rFonts w:ascii="Times New Roman" w:hAnsi="Times New Roman" w:cs="Times New Roman"/>
          <w:sz w:val="24"/>
          <w:szCs w:val="24"/>
        </w:rPr>
        <w:t>-1</w:t>
      </w:r>
      <w:r w:rsidR="00C97E62" w:rsidRPr="00FA0766">
        <w:rPr>
          <w:rFonts w:ascii="Times New Roman" w:hAnsi="Times New Roman" w:cs="Times New Roman"/>
          <w:sz w:val="24"/>
          <w:szCs w:val="24"/>
        </w:rPr>
        <w:t xml:space="preserve">35 </w:t>
      </w:r>
      <w:r w:rsidR="00C17D5B" w:rsidRPr="00FA0766">
        <w:rPr>
          <w:rFonts w:ascii="Times New Roman" w:hAnsi="Times New Roman" w:cs="Times New Roman"/>
          <w:sz w:val="24"/>
          <w:szCs w:val="24"/>
        </w:rPr>
        <w:t>[</w:t>
      </w:r>
      <w:r w:rsidR="000921E0" w:rsidRPr="00FA0766">
        <w:rPr>
          <w:rFonts w:ascii="Times New Roman" w:hAnsi="Times New Roman" w:cs="Times New Roman"/>
          <w:sz w:val="24"/>
          <w:szCs w:val="24"/>
        </w:rPr>
        <w:t>1st</w:t>
      </w:r>
      <w:r w:rsidR="00C97E62" w:rsidRPr="00FA0766">
        <w:rPr>
          <w:rFonts w:ascii="Times New Roman" w:hAnsi="Times New Roman" w:cs="Times New Roman"/>
          <w:sz w:val="24"/>
          <w:szCs w:val="24"/>
        </w:rPr>
        <w:t xml:space="preserve"> Dept 2000</w:t>
      </w:r>
      <w:r w:rsidR="00C17D5B" w:rsidRPr="00FA0766">
        <w:rPr>
          <w:rFonts w:ascii="Times New Roman" w:hAnsi="Times New Roman" w:cs="Times New Roman"/>
          <w:sz w:val="24"/>
          <w:szCs w:val="24"/>
        </w:rPr>
        <w:t>]</w:t>
      </w:r>
      <w:r w:rsidR="00C97E62" w:rsidRPr="00FA0766">
        <w:rPr>
          <w:rFonts w:ascii="Times New Roman" w:hAnsi="Times New Roman" w:cs="Times New Roman"/>
          <w:sz w:val="24"/>
          <w:szCs w:val="24"/>
        </w:rPr>
        <w:t xml:space="preserve"> [“The court properly exercised its discretion in removing defendant from the courtroom during the suppression hearing. Defendant continually disrupted the hearing despite repeated warnings to cease his outbursts.</w:t>
      </w:r>
      <w:r w:rsidR="00780D30" w:rsidRPr="00FA0766">
        <w:rPr>
          <w:rFonts w:ascii="Times New Roman" w:hAnsi="Times New Roman" w:cs="Times New Roman"/>
          <w:sz w:val="24"/>
          <w:szCs w:val="24"/>
        </w:rPr>
        <w:t xml:space="preserve"> </w:t>
      </w:r>
      <w:r w:rsidR="00C97E62" w:rsidRPr="00FA0766">
        <w:rPr>
          <w:rFonts w:ascii="Times New Roman" w:hAnsi="Times New Roman" w:cs="Times New Roman"/>
          <w:sz w:val="24"/>
          <w:szCs w:val="24"/>
        </w:rPr>
        <w:t>Although the court did not specifically warn defendant that continued misconduct would result in removal (</w:t>
      </w:r>
      <w:r w:rsidR="00C97E62" w:rsidRPr="00FA0766">
        <w:rPr>
          <w:rFonts w:ascii="Times New Roman" w:hAnsi="Times New Roman" w:cs="Times New Roman"/>
          <w:i/>
          <w:iCs/>
          <w:sz w:val="24"/>
          <w:szCs w:val="24"/>
        </w:rPr>
        <w:t>see,</w:t>
      </w:r>
      <w:r w:rsidR="00C97E62" w:rsidRPr="00FA0766">
        <w:rPr>
          <w:rFonts w:ascii="Times New Roman" w:hAnsi="Times New Roman" w:cs="Times New Roman"/>
          <w:sz w:val="24"/>
          <w:szCs w:val="24"/>
        </w:rPr>
        <w:t xml:space="preserve"> CPL 260.20), such a warning was unnecessary under the circumstances</w:t>
      </w:r>
      <w:r w:rsidR="00002631" w:rsidRPr="00FA0766">
        <w:rPr>
          <w:rFonts w:ascii="Times New Roman" w:hAnsi="Times New Roman" w:cs="Times New Roman"/>
          <w:sz w:val="24"/>
          <w:szCs w:val="24"/>
        </w:rPr>
        <w:t>,</w:t>
      </w:r>
      <w:r w:rsidR="00C97E62" w:rsidRPr="00FA0766">
        <w:rPr>
          <w:rFonts w:ascii="Times New Roman" w:hAnsi="Times New Roman" w:cs="Times New Roman"/>
          <w:sz w:val="24"/>
          <w:szCs w:val="24"/>
        </w:rPr>
        <w:t>”</w:t>
      </w:r>
      <w:r w:rsidR="000E2BD0" w:rsidRPr="00FA0766">
        <w:rPr>
          <w:rFonts w:ascii="Times New Roman" w:hAnsi="Times New Roman" w:cs="Times New Roman"/>
          <w:sz w:val="24"/>
          <w:szCs w:val="24"/>
        </w:rPr>
        <w:t xml:space="preserve"> </w:t>
      </w:r>
      <w:r w:rsidR="00002631" w:rsidRPr="00FA0766">
        <w:rPr>
          <w:rFonts w:ascii="Times New Roman" w:hAnsi="Times New Roman" w:cs="Times New Roman"/>
          <w:sz w:val="24"/>
          <w:szCs w:val="24"/>
        </w:rPr>
        <w:t>which included</w:t>
      </w:r>
      <w:r w:rsidR="00C97E62" w:rsidRPr="00FA0766">
        <w:rPr>
          <w:rFonts w:ascii="Times New Roman" w:hAnsi="Times New Roman" w:cs="Times New Roman"/>
          <w:sz w:val="24"/>
          <w:szCs w:val="24"/>
        </w:rPr>
        <w:t> </w:t>
      </w:r>
      <w:r w:rsidR="007407BC" w:rsidRPr="00FA0766">
        <w:rPr>
          <w:rFonts w:ascii="Times New Roman" w:hAnsi="Times New Roman" w:cs="Times New Roman"/>
          <w:sz w:val="24"/>
          <w:szCs w:val="24"/>
        </w:rPr>
        <w:t>during the outbursts “</w:t>
      </w:r>
      <w:r w:rsidR="00C97E62" w:rsidRPr="00FA0766">
        <w:rPr>
          <w:rFonts w:ascii="Times New Roman" w:hAnsi="Times New Roman" w:cs="Times New Roman"/>
          <w:sz w:val="24"/>
          <w:szCs w:val="24"/>
        </w:rPr>
        <w:t>an explicit demand to be removed”]</w:t>
      </w:r>
      <w:r w:rsidR="00C437DF" w:rsidRPr="00FA0766">
        <w:rPr>
          <w:rFonts w:ascii="Times New Roman" w:hAnsi="Times New Roman" w:cs="Times New Roman"/>
          <w:sz w:val="24"/>
          <w:szCs w:val="24"/>
        </w:rPr>
        <w:t>.</w:t>
      </w:r>
      <w:r w:rsidR="00C17D5B" w:rsidRPr="00FA0766">
        <w:rPr>
          <w:rFonts w:ascii="Times New Roman" w:hAnsi="Times New Roman" w:cs="Times New Roman"/>
          <w:sz w:val="24"/>
          <w:szCs w:val="24"/>
        </w:rPr>
        <w:t>)</w:t>
      </w:r>
    </w:p>
    <w:p w14:paraId="2C41C92F" w14:textId="77777777" w:rsidR="00D56145" w:rsidRPr="00FA0766" w:rsidRDefault="00D56145" w:rsidP="00FA0766">
      <w:pPr>
        <w:shd w:val="clear" w:color="auto" w:fill="FFFFFF"/>
        <w:spacing w:line="276" w:lineRule="auto"/>
        <w:jc w:val="both"/>
        <w:rPr>
          <w:rFonts w:ascii="Times New Roman" w:eastAsia="Times New Roman" w:hAnsi="Times New Roman" w:cs="Times New Roman"/>
          <w:sz w:val="24"/>
          <w:szCs w:val="24"/>
          <w14:ligatures w14:val="none"/>
        </w:rPr>
      </w:pPr>
    </w:p>
    <w:p w14:paraId="3DA28E63" w14:textId="04497015" w:rsidR="000E1FF9" w:rsidRPr="00FA0766" w:rsidRDefault="00836610" w:rsidP="00FA0766">
      <w:pPr>
        <w:shd w:val="clear" w:color="auto" w:fill="FFFFFF"/>
        <w:spacing w:line="276" w:lineRule="auto"/>
        <w:jc w:val="both"/>
        <w:rPr>
          <w:rFonts w:ascii="Times New Roman" w:eastAsia="Times New Roman" w:hAnsi="Times New Roman" w:cs="Times New Roman"/>
          <w:sz w:val="24"/>
          <w:szCs w:val="24"/>
          <w14:ligatures w14:val="none"/>
        </w:rPr>
      </w:pPr>
      <w:bookmarkStart w:id="0" w:name="_Hlk148652205"/>
      <w:r w:rsidRPr="00FA0766">
        <w:rPr>
          <w:rFonts w:ascii="Times New Roman" w:eastAsia="Times New Roman" w:hAnsi="Times New Roman" w:cs="Times New Roman"/>
          <w:i/>
          <w:iCs/>
          <w:sz w:val="24"/>
          <w:szCs w:val="24"/>
          <w14:ligatures w14:val="none"/>
        </w:rPr>
        <w:tab/>
      </w:r>
      <w:r w:rsidRPr="00FA0766">
        <w:rPr>
          <w:rFonts w:ascii="Times New Roman" w:eastAsia="Times New Roman" w:hAnsi="Times New Roman" w:cs="Times New Roman"/>
          <w:sz w:val="24"/>
          <w:szCs w:val="24"/>
          <w14:ligatures w14:val="none"/>
        </w:rPr>
        <w:t>As</w:t>
      </w:r>
      <w:r w:rsidRPr="00FA0766">
        <w:rPr>
          <w:rFonts w:ascii="Times New Roman" w:eastAsia="Times New Roman" w:hAnsi="Times New Roman" w:cs="Times New Roman"/>
          <w:i/>
          <w:iCs/>
          <w:sz w:val="24"/>
          <w:szCs w:val="24"/>
          <w14:ligatures w14:val="none"/>
        </w:rPr>
        <w:t xml:space="preserve"> </w:t>
      </w:r>
      <w:r w:rsidR="000E1FF9" w:rsidRPr="00FA0766">
        <w:rPr>
          <w:rFonts w:ascii="Times New Roman" w:eastAsia="Times New Roman" w:hAnsi="Times New Roman" w:cs="Times New Roman"/>
          <w:i/>
          <w:iCs/>
          <w:sz w:val="24"/>
          <w:szCs w:val="24"/>
          <w14:ligatures w14:val="none"/>
        </w:rPr>
        <w:t>Antoine</w:t>
      </w:r>
      <w:r w:rsidR="00084482" w:rsidRPr="00FA0766">
        <w:rPr>
          <w:rFonts w:ascii="Times New Roman" w:eastAsia="Times New Roman" w:hAnsi="Times New Roman" w:cs="Times New Roman"/>
          <w:sz w:val="24"/>
          <w:szCs w:val="24"/>
          <w14:ligatures w14:val="none"/>
        </w:rPr>
        <w:t xml:space="preserve"> summarized the </w:t>
      </w:r>
      <w:r w:rsidR="00A809BC" w:rsidRPr="00FA0766">
        <w:rPr>
          <w:rFonts w:ascii="Times New Roman" w:eastAsia="Times New Roman" w:hAnsi="Times New Roman" w:cs="Times New Roman"/>
          <w:sz w:val="24"/>
          <w:szCs w:val="24"/>
          <w14:ligatures w14:val="none"/>
        </w:rPr>
        <w:t>rule</w:t>
      </w:r>
      <w:bookmarkEnd w:id="0"/>
      <w:r w:rsidR="00A809BC" w:rsidRPr="00FA0766">
        <w:rPr>
          <w:rFonts w:ascii="Times New Roman" w:eastAsia="Times New Roman" w:hAnsi="Times New Roman" w:cs="Times New Roman"/>
          <w:sz w:val="24"/>
          <w:szCs w:val="24"/>
          <w14:ligatures w14:val="none"/>
        </w:rPr>
        <w:t>:</w:t>
      </w:r>
      <w:r w:rsidR="006629DC" w:rsidRPr="00FA0766">
        <w:rPr>
          <w:rFonts w:ascii="Times New Roman" w:eastAsia="Times New Roman" w:hAnsi="Times New Roman" w:cs="Times New Roman"/>
          <w:sz w:val="24"/>
          <w:szCs w:val="24"/>
          <w14:ligatures w14:val="none"/>
        </w:rPr>
        <w:t xml:space="preserve"> </w:t>
      </w:r>
      <w:r w:rsidR="00474C50" w:rsidRPr="00FA0766">
        <w:rPr>
          <w:rFonts w:ascii="Times New Roman" w:eastAsia="Times New Roman" w:hAnsi="Times New Roman" w:cs="Times New Roman"/>
          <w:sz w:val="24"/>
          <w:szCs w:val="24"/>
          <w14:ligatures w14:val="none"/>
        </w:rPr>
        <w:t>“</w:t>
      </w:r>
      <w:r w:rsidR="00A809BC" w:rsidRPr="00FA0766">
        <w:rPr>
          <w:rFonts w:ascii="Times New Roman" w:eastAsia="Times New Roman" w:hAnsi="Times New Roman" w:cs="Times New Roman"/>
          <w:sz w:val="24"/>
          <w:szCs w:val="24"/>
          <w14:ligatures w14:val="none"/>
        </w:rPr>
        <w:t xml:space="preserve">In </w:t>
      </w:r>
      <w:r w:rsidR="00A809BC" w:rsidRPr="00FA0766">
        <w:rPr>
          <w:rFonts w:ascii="Times New Roman" w:eastAsia="Times New Roman" w:hAnsi="Times New Roman" w:cs="Times New Roman"/>
          <w:i/>
          <w:iCs/>
          <w:sz w:val="24"/>
          <w:szCs w:val="24"/>
          <w14:ligatures w14:val="none"/>
        </w:rPr>
        <w:t>Wilkins</w:t>
      </w:r>
      <w:r w:rsidR="00A809BC" w:rsidRPr="00FA0766">
        <w:rPr>
          <w:rFonts w:ascii="Times New Roman" w:eastAsia="Times New Roman" w:hAnsi="Times New Roman" w:cs="Times New Roman"/>
          <w:sz w:val="24"/>
          <w:szCs w:val="24"/>
          <w14:ligatures w14:val="none"/>
        </w:rPr>
        <w:t>, the defendant needed to be restrained, because he physically charged across the floor to attack the prosecutor in close proximity to the jurors</w:t>
      </w:r>
      <w:r w:rsidR="008A2B24" w:rsidRPr="00FA0766">
        <w:rPr>
          <w:rFonts w:ascii="Times New Roman" w:eastAsia="Times New Roman" w:hAnsi="Times New Roman" w:cs="Times New Roman"/>
          <w:sz w:val="24"/>
          <w:szCs w:val="24"/>
          <w14:ligatures w14:val="none"/>
        </w:rPr>
        <w:t>.</w:t>
      </w:r>
      <w:r w:rsidR="00A809BC" w:rsidRPr="00FA0766">
        <w:rPr>
          <w:rFonts w:ascii="Times New Roman" w:eastAsia="Times New Roman" w:hAnsi="Times New Roman" w:cs="Times New Roman"/>
          <w:sz w:val="24"/>
          <w:szCs w:val="24"/>
          <w14:ligatures w14:val="none"/>
        </w:rPr>
        <w:t xml:space="preserve"> In </w:t>
      </w:r>
      <w:r w:rsidR="00A809BC" w:rsidRPr="00FA0766">
        <w:rPr>
          <w:rFonts w:ascii="Times New Roman" w:eastAsia="Times New Roman" w:hAnsi="Times New Roman" w:cs="Times New Roman"/>
          <w:i/>
          <w:iCs/>
          <w:sz w:val="24"/>
          <w:szCs w:val="24"/>
          <w14:ligatures w14:val="none"/>
        </w:rPr>
        <w:t>Hendrix</w:t>
      </w:r>
      <w:r w:rsidR="003F5BFC" w:rsidRPr="00FA0766">
        <w:rPr>
          <w:rFonts w:ascii="Times New Roman" w:eastAsia="Times New Roman" w:hAnsi="Times New Roman" w:cs="Times New Roman"/>
          <w:sz w:val="24"/>
          <w:szCs w:val="24"/>
          <w14:ligatures w14:val="none"/>
        </w:rPr>
        <w:t>,</w:t>
      </w:r>
      <w:r w:rsidR="003F5BFC" w:rsidRPr="00FA0766">
        <w:rPr>
          <w:rFonts w:ascii="Times New Roman" w:eastAsia="Times New Roman" w:hAnsi="Times New Roman" w:cs="Times New Roman"/>
          <w:i/>
          <w:iCs/>
          <w:sz w:val="24"/>
          <w:szCs w:val="24"/>
          <w14:ligatures w14:val="none"/>
        </w:rPr>
        <w:t xml:space="preserve"> </w:t>
      </w:r>
      <w:r w:rsidR="00A809BC" w:rsidRPr="00FA0766">
        <w:rPr>
          <w:rFonts w:ascii="Times New Roman" w:eastAsia="Times New Roman" w:hAnsi="Times New Roman" w:cs="Times New Roman"/>
          <w:sz w:val="24"/>
          <w:szCs w:val="24"/>
          <w14:ligatures w14:val="none"/>
        </w:rPr>
        <w:t>the defendant leapt onto the defense table and physically charged the bench</w:t>
      </w:r>
      <w:r w:rsidR="001C0655" w:rsidRPr="00FA0766">
        <w:rPr>
          <w:rFonts w:ascii="Times New Roman" w:eastAsia="Times New Roman" w:hAnsi="Times New Roman" w:cs="Times New Roman"/>
          <w:sz w:val="24"/>
          <w:szCs w:val="24"/>
          <w14:ligatures w14:val="none"/>
        </w:rPr>
        <w:t>.</w:t>
      </w:r>
      <w:r w:rsidR="00A809BC" w:rsidRPr="00FA0766">
        <w:rPr>
          <w:rFonts w:ascii="Times New Roman" w:eastAsia="Times New Roman" w:hAnsi="Times New Roman" w:cs="Times New Roman"/>
          <w:sz w:val="24"/>
          <w:szCs w:val="24"/>
          <w14:ligatures w14:val="none"/>
        </w:rPr>
        <w:t xml:space="preserve"> We agree that there may be emergency circumstances, such as those which occurred in </w:t>
      </w:r>
      <w:r w:rsidR="00A809BC" w:rsidRPr="00FA0766">
        <w:rPr>
          <w:rFonts w:ascii="Times New Roman" w:eastAsia="Times New Roman" w:hAnsi="Times New Roman" w:cs="Times New Roman"/>
          <w:i/>
          <w:iCs/>
          <w:sz w:val="24"/>
          <w:szCs w:val="24"/>
          <w14:ligatures w14:val="none"/>
        </w:rPr>
        <w:t>Wilkins</w:t>
      </w:r>
      <w:r w:rsidR="00A809BC" w:rsidRPr="00FA0766">
        <w:rPr>
          <w:rFonts w:ascii="Times New Roman" w:eastAsia="Times New Roman" w:hAnsi="Times New Roman" w:cs="Times New Roman"/>
          <w:sz w:val="24"/>
          <w:szCs w:val="24"/>
          <w14:ligatures w14:val="none"/>
        </w:rPr>
        <w:t xml:space="preserve"> and </w:t>
      </w:r>
      <w:r w:rsidR="00A809BC" w:rsidRPr="00FA0766">
        <w:rPr>
          <w:rFonts w:ascii="Times New Roman" w:eastAsia="Times New Roman" w:hAnsi="Times New Roman" w:cs="Times New Roman"/>
          <w:i/>
          <w:iCs/>
          <w:sz w:val="24"/>
          <w:szCs w:val="24"/>
          <w14:ligatures w14:val="none"/>
        </w:rPr>
        <w:t>Hendrix</w:t>
      </w:r>
      <w:r w:rsidR="00A809BC" w:rsidRPr="00FA0766">
        <w:rPr>
          <w:rFonts w:ascii="Times New Roman" w:eastAsia="Times New Roman" w:hAnsi="Times New Roman" w:cs="Times New Roman"/>
          <w:sz w:val="24"/>
          <w:szCs w:val="24"/>
          <w14:ligatures w14:val="none"/>
        </w:rPr>
        <w:t>, where there is no practical value to, or opportunity for, the issuance of a warning that a defendant cease disruptive behavior.</w:t>
      </w:r>
      <w:r w:rsidR="00317485" w:rsidRPr="00FA0766">
        <w:rPr>
          <w:rFonts w:ascii="Times New Roman" w:eastAsia="Times New Roman" w:hAnsi="Times New Roman" w:cs="Times New Roman"/>
          <w:sz w:val="24"/>
          <w:szCs w:val="24"/>
          <w14:ligatures w14:val="none"/>
        </w:rPr>
        <w:t>”</w:t>
      </w:r>
      <w:r w:rsidR="00A809BC" w:rsidRPr="00FA0766">
        <w:rPr>
          <w:rFonts w:ascii="Times New Roman" w:eastAsia="Times New Roman" w:hAnsi="Times New Roman" w:cs="Times New Roman"/>
          <w:sz w:val="24"/>
          <w:szCs w:val="24"/>
          <w14:ligatures w14:val="none"/>
        </w:rPr>
        <w:t xml:space="preserve"> </w:t>
      </w:r>
      <w:r w:rsidR="001C0655" w:rsidRPr="00FA0766">
        <w:rPr>
          <w:rFonts w:ascii="Times New Roman" w:eastAsia="Times New Roman" w:hAnsi="Times New Roman" w:cs="Times New Roman"/>
          <w:sz w:val="24"/>
          <w:szCs w:val="24"/>
          <w14:ligatures w14:val="none"/>
        </w:rPr>
        <w:t>(</w:t>
      </w:r>
      <w:r w:rsidR="00474C50" w:rsidRPr="00FA0766">
        <w:rPr>
          <w:rFonts w:ascii="Times New Roman" w:eastAsia="Times New Roman" w:hAnsi="Times New Roman" w:cs="Times New Roman"/>
          <w:i/>
          <w:iCs/>
          <w:sz w:val="24"/>
          <w:szCs w:val="24"/>
          <w14:ligatures w14:val="none"/>
        </w:rPr>
        <w:t>Antoine</w:t>
      </w:r>
      <w:r w:rsidR="00474C50" w:rsidRPr="00FA0766">
        <w:rPr>
          <w:rFonts w:ascii="Times New Roman" w:eastAsia="Times New Roman" w:hAnsi="Times New Roman" w:cs="Times New Roman"/>
          <w:sz w:val="24"/>
          <w:szCs w:val="24"/>
          <w14:ligatures w14:val="none"/>
        </w:rPr>
        <w:t xml:space="preserve"> at 1447</w:t>
      </w:r>
      <w:r w:rsidR="003F5BFC" w:rsidRPr="00FA0766">
        <w:rPr>
          <w:rFonts w:ascii="Times New Roman" w:eastAsia="Times New Roman" w:hAnsi="Times New Roman" w:cs="Times New Roman"/>
          <w:sz w:val="24"/>
          <w:szCs w:val="24"/>
          <w14:ligatures w14:val="none"/>
        </w:rPr>
        <w:t xml:space="preserve"> </w:t>
      </w:r>
      <w:r w:rsidR="001C0655" w:rsidRPr="00FA0766">
        <w:rPr>
          <w:rFonts w:ascii="Times New Roman" w:eastAsia="Times New Roman" w:hAnsi="Times New Roman" w:cs="Times New Roman"/>
          <w:sz w:val="24"/>
          <w:szCs w:val="24"/>
          <w14:ligatures w14:val="none"/>
        </w:rPr>
        <w:t>[</w:t>
      </w:r>
      <w:r w:rsidR="003F5BFC" w:rsidRPr="00FA0766">
        <w:rPr>
          <w:rFonts w:ascii="Times New Roman" w:eastAsia="Times New Roman" w:hAnsi="Times New Roman" w:cs="Times New Roman"/>
          <w:sz w:val="24"/>
          <w:szCs w:val="24"/>
          <w14:ligatures w14:val="none"/>
        </w:rPr>
        <w:t>citations omitted</w:t>
      </w:r>
      <w:r w:rsidR="001C0655" w:rsidRPr="00FA0766">
        <w:rPr>
          <w:rFonts w:ascii="Times New Roman" w:eastAsia="Times New Roman" w:hAnsi="Times New Roman" w:cs="Times New Roman"/>
          <w:sz w:val="24"/>
          <w:szCs w:val="24"/>
          <w14:ligatures w14:val="none"/>
        </w:rPr>
        <w:t>]</w:t>
      </w:r>
      <w:r w:rsidR="003F5BFC" w:rsidRPr="00FA0766">
        <w:rPr>
          <w:rFonts w:ascii="Times New Roman" w:eastAsia="Times New Roman" w:hAnsi="Times New Roman" w:cs="Times New Roman"/>
          <w:sz w:val="24"/>
          <w:szCs w:val="24"/>
          <w14:ligatures w14:val="none"/>
        </w:rPr>
        <w:t>.</w:t>
      </w:r>
      <w:r w:rsidR="001C0655" w:rsidRPr="00FA0766">
        <w:rPr>
          <w:rFonts w:ascii="Times New Roman" w:eastAsia="Times New Roman" w:hAnsi="Times New Roman" w:cs="Times New Roman"/>
          <w:sz w:val="24"/>
          <w:szCs w:val="24"/>
          <w14:ligatures w14:val="none"/>
        </w:rPr>
        <w:t>)</w:t>
      </w:r>
    </w:p>
    <w:p w14:paraId="622611A3" w14:textId="77777777" w:rsidR="000E1FF9" w:rsidRPr="00FA0766" w:rsidRDefault="000E1FF9" w:rsidP="00FA0766">
      <w:pPr>
        <w:shd w:val="clear" w:color="auto" w:fill="FFFFFF"/>
        <w:spacing w:line="276" w:lineRule="auto"/>
        <w:ind w:right="720"/>
        <w:jc w:val="both"/>
        <w:rPr>
          <w:rFonts w:ascii="Times New Roman" w:hAnsi="Times New Roman" w:cs="Times New Roman"/>
          <w:sz w:val="24"/>
          <w:szCs w:val="24"/>
        </w:rPr>
      </w:pPr>
    </w:p>
    <w:p w14:paraId="1283D923" w14:textId="068BF71E" w:rsidR="00CF63C7" w:rsidRPr="00FA0766" w:rsidRDefault="009762B1" w:rsidP="00FA0766">
      <w:pPr>
        <w:shd w:val="clear" w:color="auto" w:fill="FFFFFF"/>
        <w:spacing w:line="276" w:lineRule="auto"/>
        <w:jc w:val="both"/>
        <w:rPr>
          <w:rFonts w:ascii="Times New Roman" w:hAnsi="Times New Roman" w:cs="Times New Roman"/>
          <w:sz w:val="24"/>
          <w:szCs w:val="24"/>
        </w:rPr>
      </w:pPr>
      <w:r w:rsidRPr="00FA0766">
        <w:rPr>
          <w:rFonts w:ascii="Times New Roman" w:hAnsi="Times New Roman" w:cs="Times New Roman"/>
          <w:sz w:val="24"/>
          <w:szCs w:val="24"/>
        </w:rPr>
        <w:tab/>
      </w:r>
      <w:r w:rsidR="00CF63C7" w:rsidRPr="00FA0766">
        <w:rPr>
          <w:rFonts w:ascii="Times New Roman" w:hAnsi="Times New Roman" w:cs="Times New Roman"/>
          <w:sz w:val="24"/>
          <w:szCs w:val="24"/>
        </w:rPr>
        <w:t>W</w:t>
      </w:r>
      <w:r w:rsidR="00B20609" w:rsidRPr="00FA0766">
        <w:rPr>
          <w:rFonts w:ascii="Times New Roman" w:hAnsi="Times New Roman" w:cs="Times New Roman"/>
          <w:sz w:val="24"/>
          <w:szCs w:val="24"/>
        </w:rPr>
        <w:t xml:space="preserve">hile not </w:t>
      </w:r>
      <w:r w:rsidR="00F20C24" w:rsidRPr="00FA0766">
        <w:rPr>
          <w:rFonts w:ascii="Times New Roman" w:hAnsi="Times New Roman" w:cs="Times New Roman"/>
          <w:sz w:val="24"/>
          <w:szCs w:val="24"/>
        </w:rPr>
        <w:t xml:space="preserve">currently </w:t>
      </w:r>
      <w:r w:rsidR="00B20609" w:rsidRPr="00FA0766">
        <w:rPr>
          <w:rFonts w:ascii="Times New Roman" w:hAnsi="Times New Roman" w:cs="Times New Roman"/>
          <w:sz w:val="24"/>
          <w:szCs w:val="24"/>
        </w:rPr>
        <w:t>required, w</w:t>
      </w:r>
      <w:r w:rsidR="00CF63C7" w:rsidRPr="00FA0766">
        <w:rPr>
          <w:rFonts w:ascii="Times New Roman" w:hAnsi="Times New Roman" w:cs="Times New Roman"/>
          <w:sz w:val="24"/>
          <w:szCs w:val="24"/>
        </w:rPr>
        <w:t>hen a defendant is excluded from the courtroom</w:t>
      </w:r>
      <w:r w:rsidR="009C7A53" w:rsidRPr="00FA0766">
        <w:rPr>
          <w:rFonts w:ascii="Times New Roman" w:hAnsi="Times New Roman" w:cs="Times New Roman"/>
          <w:sz w:val="24"/>
          <w:szCs w:val="24"/>
        </w:rPr>
        <w:t xml:space="preserve">, </w:t>
      </w:r>
      <w:r w:rsidR="00CF63C7" w:rsidRPr="00FA0766">
        <w:rPr>
          <w:rFonts w:ascii="Times New Roman" w:hAnsi="Times New Roman" w:cs="Times New Roman"/>
          <w:sz w:val="24"/>
          <w:szCs w:val="24"/>
        </w:rPr>
        <w:t>a court “that readily possesses the means to do so should generally permit a defendant who has been excluded from the courtroom to observe the proceedings from a remote location in order to minimize the possibly of prejudice.</w:t>
      </w:r>
      <w:r w:rsidR="00F25288" w:rsidRPr="00FA0766">
        <w:rPr>
          <w:rFonts w:ascii="Times New Roman" w:hAnsi="Times New Roman" w:cs="Times New Roman"/>
          <w:sz w:val="24"/>
          <w:szCs w:val="24"/>
        </w:rPr>
        <w:t>”</w:t>
      </w:r>
      <w:r w:rsidR="00CF63C7" w:rsidRPr="00FA0766">
        <w:rPr>
          <w:rFonts w:ascii="Times New Roman" w:hAnsi="Times New Roman" w:cs="Times New Roman"/>
          <w:sz w:val="24"/>
          <w:szCs w:val="24"/>
        </w:rPr>
        <w:t xml:space="preserve"> </w:t>
      </w:r>
      <w:r w:rsidR="001C0655" w:rsidRPr="00FA0766">
        <w:rPr>
          <w:rFonts w:ascii="Times New Roman" w:hAnsi="Times New Roman" w:cs="Times New Roman"/>
          <w:sz w:val="24"/>
          <w:szCs w:val="24"/>
        </w:rPr>
        <w:t>(</w:t>
      </w:r>
      <w:r w:rsidR="00CF63C7" w:rsidRPr="00FA0766">
        <w:rPr>
          <w:rFonts w:ascii="Times New Roman" w:hAnsi="Times New Roman" w:cs="Times New Roman"/>
          <w:i/>
          <w:iCs/>
          <w:sz w:val="24"/>
          <w:szCs w:val="24"/>
        </w:rPr>
        <w:t>People v Paige</w:t>
      </w:r>
      <w:r w:rsidR="00CF63C7" w:rsidRPr="00FA0766">
        <w:rPr>
          <w:rFonts w:ascii="Times New Roman" w:hAnsi="Times New Roman" w:cs="Times New Roman"/>
          <w:sz w:val="24"/>
          <w:szCs w:val="24"/>
        </w:rPr>
        <w:t xml:space="preserve">, 134 AD3d 1048, 1053 </w:t>
      </w:r>
      <w:r w:rsidR="004801E7" w:rsidRPr="00FA0766">
        <w:rPr>
          <w:rFonts w:ascii="Times New Roman" w:hAnsi="Times New Roman" w:cs="Times New Roman"/>
          <w:sz w:val="24"/>
          <w:szCs w:val="24"/>
        </w:rPr>
        <w:t>[</w:t>
      </w:r>
      <w:r w:rsidR="00CF63C7" w:rsidRPr="00FA0766">
        <w:rPr>
          <w:rFonts w:ascii="Times New Roman" w:hAnsi="Times New Roman" w:cs="Times New Roman"/>
          <w:sz w:val="24"/>
          <w:szCs w:val="24"/>
        </w:rPr>
        <w:t>2d Dept 2015</w:t>
      </w:r>
      <w:r w:rsidR="004801E7" w:rsidRPr="00FA0766">
        <w:rPr>
          <w:rFonts w:ascii="Times New Roman" w:hAnsi="Times New Roman" w:cs="Times New Roman"/>
          <w:sz w:val="24"/>
          <w:szCs w:val="24"/>
        </w:rPr>
        <w:t>] [</w:t>
      </w:r>
      <w:r w:rsidR="001F7EFD" w:rsidRPr="00FA0766">
        <w:rPr>
          <w:rFonts w:ascii="Times New Roman" w:hAnsi="Times New Roman" w:cs="Times New Roman"/>
          <w:sz w:val="24"/>
          <w:szCs w:val="24"/>
        </w:rPr>
        <w:t>“under the particular circumstances of this case,</w:t>
      </w:r>
      <w:r w:rsidR="009C7A53" w:rsidRPr="00FA0766">
        <w:rPr>
          <w:rFonts w:ascii="Times New Roman" w:hAnsi="Times New Roman" w:cs="Times New Roman"/>
          <w:sz w:val="24"/>
          <w:szCs w:val="24"/>
        </w:rPr>
        <w:t>”</w:t>
      </w:r>
      <w:r w:rsidR="001F7EFD" w:rsidRPr="00FA0766">
        <w:rPr>
          <w:rFonts w:ascii="Times New Roman" w:hAnsi="Times New Roman" w:cs="Times New Roman"/>
          <w:sz w:val="24"/>
          <w:szCs w:val="24"/>
        </w:rPr>
        <w:t xml:space="preserve"> </w:t>
      </w:r>
      <w:r w:rsidR="009C7A53" w:rsidRPr="00FA0766">
        <w:rPr>
          <w:rFonts w:ascii="Times New Roman" w:hAnsi="Times New Roman" w:cs="Times New Roman"/>
          <w:i/>
          <w:iCs/>
          <w:sz w:val="24"/>
          <w:szCs w:val="24"/>
        </w:rPr>
        <w:t>Paige</w:t>
      </w:r>
      <w:r w:rsidR="009C7A53" w:rsidRPr="00FA0766">
        <w:rPr>
          <w:rFonts w:ascii="Times New Roman" w:hAnsi="Times New Roman" w:cs="Times New Roman"/>
          <w:sz w:val="24"/>
          <w:szCs w:val="24"/>
        </w:rPr>
        <w:t xml:space="preserve"> held, “</w:t>
      </w:r>
      <w:r w:rsidR="001F7EFD" w:rsidRPr="00FA0766">
        <w:rPr>
          <w:rFonts w:ascii="Times New Roman" w:hAnsi="Times New Roman" w:cs="Times New Roman"/>
          <w:sz w:val="24"/>
          <w:szCs w:val="24"/>
        </w:rPr>
        <w:t>the court did not improvidently exercise its discretion in declining</w:t>
      </w:r>
      <w:r w:rsidR="00612197" w:rsidRPr="00FA0766">
        <w:rPr>
          <w:rFonts w:ascii="Times New Roman" w:hAnsi="Times New Roman" w:cs="Times New Roman"/>
          <w:sz w:val="24"/>
          <w:szCs w:val="24"/>
        </w:rPr>
        <w:t xml:space="preserve"> </w:t>
      </w:r>
      <w:r w:rsidR="001F7EFD" w:rsidRPr="00FA0766">
        <w:rPr>
          <w:rFonts w:ascii="Times New Roman" w:hAnsi="Times New Roman" w:cs="Times New Roman"/>
          <w:sz w:val="24"/>
          <w:szCs w:val="24"/>
        </w:rPr>
        <w:t>defense counsel</w:t>
      </w:r>
      <w:r w:rsidR="00D56145" w:rsidRPr="00FA0766">
        <w:rPr>
          <w:rFonts w:ascii="Times New Roman" w:hAnsi="Times New Roman" w:cs="Times New Roman"/>
          <w:sz w:val="24"/>
          <w:szCs w:val="24"/>
        </w:rPr>
        <w:t>’</w:t>
      </w:r>
      <w:r w:rsidR="001F7EFD" w:rsidRPr="00FA0766">
        <w:rPr>
          <w:rFonts w:ascii="Times New Roman" w:hAnsi="Times New Roman" w:cs="Times New Roman"/>
          <w:sz w:val="24"/>
          <w:szCs w:val="24"/>
        </w:rPr>
        <w:t>s request to permit the defendant to view the proceedings from a remote location</w:t>
      </w:r>
      <w:r w:rsidR="009C7A53" w:rsidRPr="00FA0766">
        <w:rPr>
          <w:rFonts w:ascii="Times New Roman" w:hAnsi="Times New Roman" w:cs="Times New Roman"/>
          <w:sz w:val="24"/>
          <w:szCs w:val="24"/>
        </w:rPr>
        <w:t>”</w:t>
      </w:r>
      <w:r w:rsidR="00612197" w:rsidRPr="00FA0766">
        <w:rPr>
          <w:rFonts w:ascii="Times New Roman" w:hAnsi="Times New Roman" w:cs="Times New Roman"/>
          <w:sz w:val="24"/>
          <w:szCs w:val="24"/>
        </w:rPr>
        <w:t>]</w:t>
      </w:r>
      <w:r w:rsidR="002D7F49" w:rsidRPr="00FA0766">
        <w:rPr>
          <w:rFonts w:ascii="Times New Roman" w:hAnsi="Times New Roman" w:cs="Times New Roman"/>
          <w:sz w:val="24"/>
          <w:szCs w:val="24"/>
        </w:rPr>
        <w:t>;</w:t>
      </w:r>
      <w:r w:rsidR="00CF63C7" w:rsidRPr="00FA0766">
        <w:rPr>
          <w:rFonts w:ascii="Times New Roman" w:hAnsi="Times New Roman" w:cs="Times New Roman"/>
          <w:sz w:val="24"/>
          <w:szCs w:val="24"/>
        </w:rPr>
        <w:t xml:space="preserve"> </w:t>
      </w:r>
      <w:r w:rsidR="00CF63C7" w:rsidRPr="00FA0766">
        <w:rPr>
          <w:rFonts w:ascii="Times New Roman" w:hAnsi="Times New Roman" w:cs="Times New Roman"/>
          <w:i/>
          <w:iCs/>
          <w:sz w:val="24"/>
          <w:szCs w:val="24"/>
        </w:rPr>
        <w:t>see Allen</w:t>
      </w:r>
      <w:r w:rsidR="00CF63C7" w:rsidRPr="00FA0766">
        <w:rPr>
          <w:rFonts w:ascii="Times New Roman" w:hAnsi="Times New Roman" w:cs="Times New Roman"/>
          <w:sz w:val="24"/>
          <w:szCs w:val="24"/>
        </w:rPr>
        <w:t>, 397 US at 351</w:t>
      </w:r>
      <w:r w:rsidR="00994B03" w:rsidRPr="00FA0766">
        <w:rPr>
          <w:rFonts w:ascii="Times New Roman" w:hAnsi="Times New Roman" w:cs="Times New Roman"/>
          <w:sz w:val="24"/>
          <w:szCs w:val="24"/>
        </w:rPr>
        <w:t xml:space="preserve"> </w:t>
      </w:r>
      <w:r w:rsidR="00BB0A35" w:rsidRPr="00FA0766">
        <w:rPr>
          <w:rFonts w:ascii="Times New Roman" w:hAnsi="Times New Roman" w:cs="Times New Roman"/>
          <w:sz w:val="24"/>
          <w:szCs w:val="24"/>
        </w:rPr>
        <w:t xml:space="preserve">[Brennan, J., concurring] </w:t>
      </w:r>
      <w:r w:rsidR="00994B03" w:rsidRPr="00FA0766">
        <w:rPr>
          <w:rFonts w:ascii="Times New Roman" w:hAnsi="Times New Roman" w:cs="Times New Roman"/>
          <w:sz w:val="24"/>
          <w:szCs w:val="24"/>
        </w:rPr>
        <w:t>[</w:t>
      </w:r>
      <w:r w:rsidR="00CF63C7" w:rsidRPr="00FA0766">
        <w:rPr>
          <w:rFonts w:ascii="Times New Roman" w:hAnsi="Times New Roman" w:cs="Times New Roman"/>
          <w:sz w:val="24"/>
          <w:szCs w:val="24"/>
        </w:rPr>
        <w:t xml:space="preserve">“the court should make reasonable efforts to enable </w:t>
      </w:r>
      <w:r w:rsidR="00994B03" w:rsidRPr="00FA0766">
        <w:rPr>
          <w:rFonts w:ascii="Times New Roman" w:hAnsi="Times New Roman" w:cs="Times New Roman"/>
          <w:sz w:val="24"/>
          <w:szCs w:val="24"/>
        </w:rPr>
        <w:t>(</w:t>
      </w:r>
      <w:r w:rsidR="00CF63C7" w:rsidRPr="00FA0766">
        <w:rPr>
          <w:rFonts w:ascii="Times New Roman" w:hAnsi="Times New Roman" w:cs="Times New Roman"/>
          <w:sz w:val="24"/>
          <w:szCs w:val="24"/>
        </w:rPr>
        <w:t>the defendant</w:t>
      </w:r>
      <w:r w:rsidR="00994B03" w:rsidRPr="00FA0766">
        <w:rPr>
          <w:rFonts w:ascii="Times New Roman" w:hAnsi="Times New Roman" w:cs="Times New Roman"/>
          <w:sz w:val="24"/>
          <w:szCs w:val="24"/>
        </w:rPr>
        <w:t>)</w:t>
      </w:r>
      <w:r w:rsidR="00CF63C7" w:rsidRPr="00FA0766">
        <w:rPr>
          <w:rFonts w:ascii="Times New Roman" w:hAnsi="Times New Roman" w:cs="Times New Roman"/>
          <w:sz w:val="24"/>
          <w:szCs w:val="24"/>
        </w:rPr>
        <w:t xml:space="preserve"> to communicate with his attorney and, if possible, to keep apprised of the progress of his trial. Once the court has removed the contumacious defendant, it is not weakness to mitigate the disadvantages of his expulsion as far as technologically possible in the circumstances”</w:t>
      </w:r>
      <w:r w:rsidR="00994B03" w:rsidRPr="00FA0766">
        <w:rPr>
          <w:rFonts w:ascii="Times New Roman" w:hAnsi="Times New Roman" w:cs="Times New Roman"/>
          <w:sz w:val="24"/>
          <w:szCs w:val="24"/>
        </w:rPr>
        <w:t>]</w:t>
      </w:r>
      <w:r w:rsidR="00C437DF" w:rsidRPr="00FA0766">
        <w:rPr>
          <w:rFonts w:ascii="Times New Roman" w:hAnsi="Times New Roman" w:cs="Times New Roman"/>
          <w:sz w:val="24"/>
          <w:szCs w:val="24"/>
        </w:rPr>
        <w:t>.</w:t>
      </w:r>
      <w:r w:rsidR="00994B03" w:rsidRPr="00FA0766">
        <w:rPr>
          <w:rFonts w:ascii="Times New Roman" w:hAnsi="Times New Roman" w:cs="Times New Roman"/>
          <w:sz w:val="24"/>
          <w:szCs w:val="24"/>
        </w:rPr>
        <w:t>)</w:t>
      </w:r>
    </w:p>
    <w:p w14:paraId="672DD3C7" w14:textId="77777777" w:rsidR="00CF63C7" w:rsidRPr="00FA0766" w:rsidRDefault="00CF63C7" w:rsidP="00FA0766">
      <w:pPr>
        <w:spacing w:line="276" w:lineRule="auto"/>
        <w:jc w:val="both"/>
        <w:rPr>
          <w:rFonts w:ascii="Times New Roman" w:hAnsi="Times New Roman" w:cs="Times New Roman"/>
          <w:sz w:val="24"/>
          <w:szCs w:val="24"/>
        </w:rPr>
      </w:pPr>
    </w:p>
    <w:p w14:paraId="44A82350" w14:textId="2ECE7D80" w:rsidR="00AD48FC" w:rsidRPr="00FA0766" w:rsidRDefault="00CF63C7" w:rsidP="00FA0766">
      <w:pPr>
        <w:spacing w:line="276" w:lineRule="auto"/>
        <w:ind w:right="90"/>
        <w:jc w:val="both"/>
        <w:rPr>
          <w:rFonts w:ascii="Times New Roman" w:hAnsi="Times New Roman" w:cs="Times New Roman"/>
          <w:sz w:val="24"/>
          <w:szCs w:val="24"/>
        </w:rPr>
      </w:pPr>
      <w:r w:rsidRPr="00FA0766">
        <w:rPr>
          <w:rFonts w:ascii="Times New Roman" w:hAnsi="Times New Roman" w:cs="Times New Roman"/>
          <w:sz w:val="24"/>
          <w:szCs w:val="24"/>
        </w:rPr>
        <w:tab/>
        <w:t>“Once lost, the right to be present can, of course, be reclaimed as soon as the defendant is willing to conduct himself consistently with the decorum and respect inherent in the concept of courts and judicial proceedings.” (</w:t>
      </w:r>
      <w:r w:rsidRPr="00FA0766">
        <w:rPr>
          <w:rFonts w:ascii="Times New Roman" w:hAnsi="Times New Roman" w:cs="Times New Roman"/>
          <w:i/>
          <w:iCs/>
          <w:sz w:val="24"/>
          <w:szCs w:val="24"/>
        </w:rPr>
        <w:t>Allen</w:t>
      </w:r>
      <w:r w:rsidRPr="00FA0766">
        <w:rPr>
          <w:rFonts w:ascii="Times New Roman" w:hAnsi="Times New Roman" w:cs="Times New Roman"/>
          <w:sz w:val="24"/>
          <w:szCs w:val="24"/>
        </w:rPr>
        <w:t>, 397 US at 343</w:t>
      </w:r>
      <w:r w:rsidR="00994B03" w:rsidRPr="00FA0766">
        <w:rPr>
          <w:rFonts w:ascii="Times New Roman" w:hAnsi="Times New Roman" w:cs="Times New Roman"/>
          <w:sz w:val="24"/>
          <w:szCs w:val="24"/>
        </w:rPr>
        <w:t>;</w:t>
      </w:r>
      <w:r w:rsidRPr="00FA0766">
        <w:rPr>
          <w:rFonts w:ascii="Times New Roman" w:hAnsi="Times New Roman" w:cs="Times New Roman"/>
          <w:sz w:val="24"/>
          <w:szCs w:val="24"/>
        </w:rPr>
        <w:t xml:space="preserve"> </w:t>
      </w:r>
      <w:r w:rsidR="00994B03" w:rsidRPr="00FA0766">
        <w:rPr>
          <w:rFonts w:ascii="Times New Roman" w:hAnsi="Times New Roman" w:cs="Times New Roman"/>
          <w:i/>
          <w:iCs/>
          <w:sz w:val="24"/>
          <w:szCs w:val="24"/>
        </w:rPr>
        <w:t>c</w:t>
      </w:r>
      <w:r w:rsidRPr="00FA0766">
        <w:rPr>
          <w:rFonts w:ascii="Times New Roman" w:hAnsi="Times New Roman" w:cs="Times New Roman"/>
          <w:i/>
          <w:iCs/>
          <w:sz w:val="24"/>
          <w:szCs w:val="24"/>
        </w:rPr>
        <w:t>f. Paige</w:t>
      </w:r>
      <w:r w:rsidRPr="00FA0766">
        <w:rPr>
          <w:rFonts w:ascii="Times New Roman" w:hAnsi="Times New Roman" w:cs="Times New Roman"/>
          <w:sz w:val="24"/>
          <w:szCs w:val="24"/>
        </w:rPr>
        <w:t>, 134 AD3d at 1052-</w:t>
      </w:r>
      <w:r w:rsidR="00994B03" w:rsidRPr="00FA0766">
        <w:rPr>
          <w:rFonts w:ascii="Times New Roman" w:hAnsi="Times New Roman" w:cs="Times New Roman"/>
          <w:sz w:val="24"/>
          <w:szCs w:val="24"/>
        </w:rPr>
        <w:t>10</w:t>
      </w:r>
      <w:r w:rsidRPr="00FA0766">
        <w:rPr>
          <w:rFonts w:ascii="Times New Roman" w:hAnsi="Times New Roman" w:cs="Times New Roman"/>
          <w:sz w:val="24"/>
          <w:szCs w:val="24"/>
        </w:rPr>
        <w:t xml:space="preserve">53 [the record </w:t>
      </w:r>
      <w:r w:rsidR="00DA65F6" w:rsidRPr="00FA0766">
        <w:rPr>
          <w:rFonts w:ascii="Times New Roman" w:hAnsi="Times New Roman" w:cs="Times New Roman"/>
          <w:sz w:val="24"/>
          <w:szCs w:val="24"/>
        </w:rPr>
        <w:t>“</w:t>
      </w:r>
      <w:r w:rsidRPr="00FA0766">
        <w:rPr>
          <w:rFonts w:ascii="Times New Roman" w:hAnsi="Times New Roman" w:cs="Times New Roman"/>
          <w:sz w:val="24"/>
          <w:szCs w:val="24"/>
        </w:rPr>
        <w:t>does not support the defendant</w:t>
      </w:r>
      <w:r w:rsidR="00D56145" w:rsidRPr="00FA0766">
        <w:rPr>
          <w:rFonts w:ascii="Times New Roman" w:hAnsi="Times New Roman" w:cs="Times New Roman"/>
          <w:sz w:val="24"/>
          <w:szCs w:val="24"/>
        </w:rPr>
        <w:t>’</w:t>
      </w:r>
      <w:r w:rsidRPr="00FA0766">
        <w:rPr>
          <w:rFonts w:ascii="Times New Roman" w:hAnsi="Times New Roman" w:cs="Times New Roman"/>
          <w:sz w:val="24"/>
          <w:szCs w:val="24"/>
        </w:rPr>
        <w:t xml:space="preserve">s contention that, after he was removed from the courtroom for his </w:t>
      </w:r>
      <w:r w:rsidRPr="00FA0766">
        <w:rPr>
          <w:rFonts w:ascii="Times New Roman" w:hAnsi="Times New Roman" w:cs="Times New Roman"/>
          <w:sz w:val="24"/>
          <w:szCs w:val="24"/>
        </w:rPr>
        <w:lastRenderedPageBreak/>
        <w:t xml:space="preserve">profanity-ridden outburst, he was willing to </w:t>
      </w:r>
      <w:r w:rsidR="00DA65F6" w:rsidRPr="00FA0766">
        <w:rPr>
          <w:rFonts w:ascii="Times New Roman" w:hAnsi="Times New Roman" w:cs="Times New Roman"/>
          <w:sz w:val="24"/>
          <w:szCs w:val="24"/>
        </w:rPr>
        <w:t>‘</w:t>
      </w:r>
      <w:r w:rsidRPr="00FA0766">
        <w:rPr>
          <w:rFonts w:ascii="Times New Roman" w:hAnsi="Times New Roman" w:cs="Times New Roman"/>
          <w:sz w:val="24"/>
          <w:szCs w:val="24"/>
        </w:rPr>
        <w:t>conduct himself consistently with the decorum and respect inherent in the concept of courts and judicial proceedings</w:t>
      </w:r>
      <w:r w:rsidR="00DA65F6" w:rsidRPr="00FA0766">
        <w:rPr>
          <w:rFonts w:ascii="Times New Roman" w:hAnsi="Times New Roman" w:cs="Times New Roman"/>
          <w:sz w:val="24"/>
          <w:szCs w:val="24"/>
        </w:rPr>
        <w:t>’</w:t>
      </w:r>
      <w:r w:rsidR="00994B03" w:rsidRPr="00FA0766">
        <w:rPr>
          <w:rFonts w:ascii="Times New Roman" w:hAnsi="Times New Roman" w:cs="Times New Roman"/>
          <w:sz w:val="24"/>
          <w:szCs w:val="24"/>
        </w:rPr>
        <w:t xml:space="preserve"> </w:t>
      </w:r>
      <w:r w:rsidRPr="00FA0766">
        <w:rPr>
          <w:rFonts w:ascii="Times New Roman" w:hAnsi="Times New Roman" w:cs="Times New Roman"/>
          <w:sz w:val="24"/>
          <w:szCs w:val="24"/>
        </w:rPr>
        <w:t>”]</w:t>
      </w:r>
      <w:r w:rsidR="00994B03" w:rsidRPr="00FA0766">
        <w:rPr>
          <w:rFonts w:ascii="Times New Roman" w:hAnsi="Times New Roman" w:cs="Times New Roman"/>
          <w:sz w:val="24"/>
          <w:szCs w:val="24"/>
        </w:rPr>
        <w:t>.</w:t>
      </w:r>
      <w:r w:rsidRPr="00FA0766">
        <w:rPr>
          <w:rFonts w:ascii="Times New Roman" w:hAnsi="Times New Roman" w:cs="Times New Roman"/>
          <w:sz w:val="24"/>
          <w:szCs w:val="24"/>
        </w:rPr>
        <w:t>)</w:t>
      </w:r>
    </w:p>
    <w:sectPr w:rsidR="00AD48FC" w:rsidRPr="00FA0766" w:rsidSect="00461717">
      <w:footerReference w:type="default" r:id="rId7"/>
      <w:type w:val="continuous"/>
      <w:pgSz w:w="12240" w:h="15840" w:code="1"/>
      <w:pgMar w:top="1440" w:right="2160" w:bottom="1440" w:left="216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F4A5" w14:textId="77777777" w:rsidR="00EC7CF1" w:rsidRDefault="00EC7CF1" w:rsidP="00292390">
      <w:r>
        <w:separator/>
      </w:r>
    </w:p>
  </w:endnote>
  <w:endnote w:type="continuationSeparator" w:id="0">
    <w:p w14:paraId="7FE9B5C0" w14:textId="77777777" w:rsidR="00EC7CF1" w:rsidRDefault="00EC7CF1" w:rsidP="0029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945409"/>
      <w:docPartObj>
        <w:docPartGallery w:val="Page Numbers (Bottom of Page)"/>
        <w:docPartUnique/>
      </w:docPartObj>
    </w:sdtPr>
    <w:sdtEndPr>
      <w:rPr>
        <w:noProof/>
      </w:rPr>
    </w:sdtEndPr>
    <w:sdtContent>
      <w:p w14:paraId="5BFA8CB7" w14:textId="1BA4EDC3" w:rsidR="00461717" w:rsidRDefault="004617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C495" w14:textId="77777777" w:rsidR="00EC7CF1" w:rsidRDefault="00EC7CF1" w:rsidP="00292390">
      <w:r>
        <w:separator/>
      </w:r>
    </w:p>
  </w:footnote>
  <w:footnote w:type="continuationSeparator" w:id="0">
    <w:p w14:paraId="225C210C" w14:textId="77777777" w:rsidR="00EC7CF1" w:rsidRDefault="00EC7CF1" w:rsidP="0029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7E62"/>
    <w:rsid w:val="00002631"/>
    <w:rsid w:val="000104D8"/>
    <w:rsid w:val="00015466"/>
    <w:rsid w:val="000379E4"/>
    <w:rsid w:val="00045C40"/>
    <w:rsid w:val="00055415"/>
    <w:rsid w:val="00061244"/>
    <w:rsid w:val="0006489A"/>
    <w:rsid w:val="0008031E"/>
    <w:rsid w:val="00084482"/>
    <w:rsid w:val="000913DF"/>
    <w:rsid w:val="000921E0"/>
    <w:rsid w:val="00095689"/>
    <w:rsid w:val="000A21A4"/>
    <w:rsid w:val="000B1D55"/>
    <w:rsid w:val="000C7322"/>
    <w:rsid w:val="000E1FF9"/>
    <w:rsid w:val="000E2BD0"/>
    <w:rsid w:val="000F17B7"/>
    <w:rsid w:val="000F53A8"/>
    <w:rsid w:val="00100AA7"/>
    <w:rsid w:val="00107997"/>
    <w:rsid w:val="0011127E"/>
    <w:rsid w:val="0012778C"/>
    <w:rsid w:val="00133AB2"/>
    <w:rsid w:val="00135027"/>
    <w:rsid w:val="0014799A"/>
    <w:rsid w:val="001549FD"/>
    <w:rsid w:val="00156547"/>
    <w:rsid w:val="0015722E"/>
    <w:rsid w:val="0016068A"/>
    <w:rsid w:val="00174A11"/>
    <w:rsid w:val="00177DF9"/>
    <w:rsid w:val="00191932"/>
    <w:rsid w:val="001A31CE"/>
    <w:rsid w:val="001A37BD"/>
    <w:rsid w:val="001A7A16"/>
    <w:rsid w:val="001C0655"/>
    <w:rsid w:val="001E6574"/>
    <w:rsid w:val="001F7EFD"/>
    <w:rsid w:val="0022525A"/>
    <w:rsid w:val="00247F6E"/>
    <w:rsid w:val="002547FD"/>
    <w:rsid w:val="00254815"/>
    <w:rsid w:val="00257039"/>
    <w:rsid w:val="0026441D"/>
    <w:rsid w:val="00266F4B"/>
    <w:rsid w:val="00271926"/>
    <w:rsid w:val="00277484"/>
    <w:rsid w:val="00283C04"/>
    <w:rsid w:val="00291B97"/>
    <w:rsid w:val="00292390"/>
    <w:rsid w:val="002A308A"/>
    <w:rsid w:val="002A3175"/>
    <w:rsid w:val="002D7367"/>
    <w:rsid w:val="002D7F49"/>
    <w:rsid w:val="002E2FED"/>
    <w:rsid w:val="003035A9"/>
    <w:rsid w:val="00304C74"/>
    <w:rsid w:val="00305799"/>
    <w:rsid w:val="00307F7A"/>
    <w:rsid w:val="00317485"/>
    <w:rsid w:val="00323FC2"/>
    <w:rsid w:val="0032557B"/>
    <w:rsid w:val="003268DD"/>
    <w:rsid w:val="00327C5A"/>
    <w:rsid w:val="00327CDB"/>
    <w:rsid w:val="00337978"/>
    <w:rsid w:val="003525F1"/>
    <w:rsid w:val="0038356D"/>
    <w:rsid w:val="00387D9E"/>
    <w:rsid w:val="00396C1F"/>
    <w:rsid w:val="003A4F5F"/>
    <w:rsid w:val="003A76AD"/>
    <w:rsid w:val="003C29FA"/>
    <w:rsid w:val="003C4839"/>
    <w:rsid w:val="003C5387"/>
    <w:rsid w:val="003C6B5E"/>
    <w:rsid w:val="003D0419"/>
    <w:rsid w:val="003D473D"/>
    <w:rsid w:val="003E648E"/>
    <w:rsid w:val="003F5BFC"/>
    <w:rsid w:val="003F604A"/>
    <w:rsid w:val="003F72E4"/>
    <w:rsid w:val="00412111"/>
    <w:rsid w:val="0041758D"/>
    <w:rsid w:val="00417C8D"/>
    <w:rsid w:val="00420C28"/>
    <w:rsid w:val="00424CF7"/>
    <w:rsid w:val="00426ABC"/>
    <w:rsid w:val="00426B7C"/>
    <w:rsid w:val="00460AE1"/>
    <w:rsid w:val="00461717"/>
    <w:rsid w:val="00461A5E"/>
    <w:rsid w:val="00474C50"/>
    <w:rsid w:val="00477B6F"/>
    <w:rsid w:val="004801E7"/>
    <w:rsid w:val="004836CD"/>
    <w:rsid w:val="004A7488"/>
    <w:rsid w:val="004B73D8"/>
    <w:rsid w:val="004B7E6B"/>
    <w:rsid w:val="004D409B"/>
    <w:rsid w:val="004D70B1"/>
    <w:rsid w:val="004D7268"/>
    <w:rsid w:val="004F19DD"/>
    <w:rsid w:val="005249A8"/>
    <w:rsid w:val="00533E29"/>
    <w:rsid w:val="005477B0"/>
    <w:rsid w:val="0056346B"/>
    <w:rsid w:val="00564604"/>
    <w:rsid w:val="00570E4B"/>
    <w:rsid w:val="0057793A"/>
    <w:rsid w:val="005826DE"/>
    <w:rsid w:val="00592220"/>
    <w:rsid w:val="005A06FF"/>
    <w:rsid w:val="005A0761"/>
    <w:rsid w:val="005A7879"/>
    <w:rsid w:val="005B7196"/>
    <w:rsid w:val="005B7B90"/>
    <w:rsid w:val="005C4F65"/>
    <w:rsid w:val="005D081A"/>
    <w:rsid w:val="005D2DB1"/>
    <w:rsid w:val="005D3EE4"/>
    <w:rsid w:val="005E0AC1"/>
    <w:rsid w:val="005F37AA"/>
    <w:rsid w:val="005F4E5D"/>
    <w:rsid w:val="005F53C5"/>
    <w:rsid w:val="0060641F"/>
    <w:rsid w:val="00612197"/>
    <w:rsid w:val="0061325F"/>
    <w:rsid w:val="00615DF2"/>
    <w:rsid w:val="0063120E"/>
    <w:rsid w:val="0064449E"/>
    <w:rsid w:val="006454FB"/>
    <w:rsid w:val="006511C1"/>
    <w:rsid w:val="00660637"/>
    <w:rsid w:val="006629DC"/>
    <w:rsid w:val="006724E8"/>
    <w:rsid w:val="006870ED"/>
    <w:rsid w:val="006921E5"/>
    <w:rsid w:val="006A1CCD"/>
    <w:rsid w:val="006B7884"/>
    <w:rsid w:val="006C54AB"/>
    <w:rsid w:val="006D3D1C"/>
    <w:rsid w:val="006F6B73"/>
    <w:rsid w:val="0070472A"/>
    <w:rsid w:val="00710881"/>
    <w:rsid w:val="007146AD"/>
    <w:rsid w:val="00725866"/>
    <w:rsid w:val="007407BC"/>
    <w:rsid w:val="00750303"/>
    <w:rsid w:val="00773BA3"/>
    <w:rsid w:val="00780D30"/>
    <w:rsid w:val="0079584D"/>
    <w:rsid w:val="007A3342"/>
    <w:rsid w:val="007A35D5"/>
    <w:rsid w:val="007B473F"/>
    <w:rsid w:val="007C7298"/>
    <w:rsid w:val="007C7E1A"/>
    <w:rsid w:val="007D0F4B"/>
    <w:rsid w:val="007E7748"/>
    <w:rsid w:val="00800677"/>
    <w:rsid w:val="00811DAA"/>
    <w:rsid w:val="00824981"/>
    <w:rsid w:val="0083290E"/>
    <w:rsid w:val="00836610"/>
    <w:rsid w:val="00852668"/>
    <w:rsid w:val="00863971"/>
    <w:rsid w:val="0088765D"/>
    <w:rsid w:val="008A2B24"/>
    <w:rsid w:val="008B24C5"/>
    <w:rsid w:val="008B7DFC"/>
    <w:rsid w:val="008C1ACE"/>
    <w:rsid w:val="008C3C6F"/>
    <w:rsid w:val="008F3869"/>
    <w:rsid w:val="008F4156"/>
    <w:rsid w:val="009020F5"/>
    <w:rsid w:val="009054FD"/>
    <w:rsid w:val="009117E4"/>
    <w:rsid w:val="0091702A"/>
    <w:rsid w:val="00921555"/>
    <w:rsid w:val="009252B1"/>
    <w:rsid w:val="00927184"/>
    <w:rsid w:val="009303A9"/>
    <w:rsid w:val="00935919"/>
    <w:rsid w:val="009638F8"/>
    <w:rsid w:val="009762B1"/>
    <w:rsid w:val="00994B03"/>
    <w:rsid w:val="009B0FFF"/>
    <w:rsid w:val="009B3E35"/>
    <w:rsid w:val="009C7A53"/>
    <w:rsid w:val="009D4F2A"/>
    <w:rsid w:val="009D4FFD"/>
    <w:rsid w:val="009E6219"/>
    <w:rsid w:val="009F5927"/>
    <w:rsid w:val="009F7509"/>
    <w:rsid w:val="00A15F19"/>
    <w:rsid w:val="00A313BE"/>
    <w:rsid w:val="00A55D92"/>
    <w:rsid w:val="00A60E74"/>
    <w:rsid w:val="00A649A0"/>
    <w:rsid w:val="00A73D2C"/>
    <w:rsid w:val="00A809BC"/>
    <w:rsid w:val="00A857D9"/>
    <w:rsid w:val="00A91C2C"/>
    <w:rsid w:val="00A92EBE"/>
    <w:rsid w:val="00A96558"/>
    <w:rsid w:val="00AA1009"/>
    <w:rsid w:val="00AD0C0F"/>
    <w:rsid w:val="00AD48FC"/>
    <w:rsid w:val="00AE19B6"/>
    <w:rsid w:val="00AE42D9"/>
    <w:rsid w:val="00B1217F"/>
    <w:rsid w:val="00B13CB7"/>
    <w:rsid w:val="00B153BA"/>
    <w:rsid w:val="00B20609"/>
    <w:rsid w:val="00B44702"/>
    <w:rsid w:val="00B47EA5"/>
    <w:rsid w:val="00B7566F"/>
    <w:rsid w:val="00B90DFF"/>
    <w:rsid w:val="00BA115D"/>
    <w:rsid w:val="00BB0A35"/>
    <w:rsid w:val="00BB3A70"/>
    <w:rsid w:val="00BC7CD1"/>
    <w:rsid w:val="00BD64CB"/>
    <w:rsid w:val="00BE1A2B"/>
    <w:rsid w:val="00BE5F35"/>
    <w:rsid w:val="00BF3D3B"/>
    <w:rsid w:val="00C001FD"/>
    <w:rsid w:val="00C03B71"/>
    <w:rsid w:val="00C1308F"/>
    <w:rsid w:val="00C17D5B"/>
    <w:rsid w:val="00C305C5"/>
    <w:rsid w:val="00C33538"/>
    <w:rsid w:val="00C34B55"/>
    <w:rsid w:val="00C35FB2"/>
    <w:rsid w:val="00C411FB"/>
    <w:rsid w:val="00C437DF"/>
    <w:rsid w:val="00C772DA"/>
    <w:rsid w:val="00C94661"/>
    <w:rsid w:val="00C97E62"/>
    <w:rsid w:val="00CA08C7"/>
    <w:rsid w:val="00CA6508"/>
    <w:rsid w:val="00CB03DA"/>
    <w:rsid w:val="00CB6AF8"/>
    <w:rsid w:val="00CD01C2"/>
    <w:rsid w:val="00CD2BAC"/>
    <w:rsid w:val="00CD36E7"/>
    <w:rsid w:val="00CE3F2C"/>
    <w:rsid w:val="00CE4724"/>
    <w:rsid w:val="00CE60CF"/>
    <w:rsid w:val="00CF63C7"/>
    <w:rsid w:val="00D04B4F"/>
    <w:rsid w:val="00D17F39"/>
    <w:rsid w:val="00D304DE"/>
    <w:rsid w:val="00D3676B"/>
    <w:rsid w:val="00D5311B"/>
    <w:rsid w:val="00D55EEF"/>
    <w:rsid w:val="00D56145"/>
    <w:rsid w:val="00D61C8F"/>
    <w:rsid w:val="00D816C1"/>
    <w:rsid w:val="00D959CF"/>
    <w:rsid w:val="00DA29A5"/>
    <w:rsid w:val="00DA4E43"/>
    <w:rsid w:val="00DA65F6"/>
    <w:rsid w:val="00DA7D4D"/>
    <w:rsid w:val="00DB12C2"/>
    <w:rsid w:val="00DD0811"/>
    <w:rsid w:val="00DD18C7"/>
    <w:rsid w:val="00DF040E"/>
    <w:rsid w:val="00E14619"/>
    <w:rsid w:val="00E208AF"/>
    <w:rsid w:val="00E31DAF"/>
    <w:rsid w:val="00E47EAE"/>
    <w:rsid w:val="00E53971"/>
    <w:rsid w:val="00E6070C"/>
    <w:rsid w:val="00E7117B"/>
    <w:rsid w:val="00E831E9"/>
    <w:rsid w:val="00E922C2"/>
    <w:rsid w:val="00E92D81"/>
    <w:rsid w:val="00E97CAC"/>
    <w:rsid w:val="00EC7CF1"/>
    <w:rsid w:val="00ED6401"/>
    <w:rsid w:val="00EE1C48"/>
    <w:rsid w:val="00EF6746"/>
    <w:rsid w:val="00F17E3F"/>
    <w:rsid w:val="00F20C24"/>
    <w:rsid w:val="00F25288"/>
    <w:rsid w:val="00F34742"/>
    <w:rsid w:val="00F3624F"/>
    <w:rsid w:val="00F65DF6"/>
    <w:rsid w:val="00F86D3E"/>
    <w:rsid w:val="00F912C4"/>
    <w:rsid w:val="00FA0766"/>
    <w:rsid w:val="00FA418B"/>
    <w:rsid w:val="00FB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1FCC"/>
  <w15:chartTrackingRefBased/>
  <w15:docId w15:val="{2CB5090F-A91F-41BB-A848-978C83B2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46B"/>
    <w:pPr>
      <w:spacing w:before="0"/>
    </w:pPr>
    <w:rPr>
      <w:rFonts w:ascii="Calibri" w:hAnsi="Calibri" w:cs="Calibri"/>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 w:type="paragraph" w:styleId="ListParagraph">
    <w:name w:val="List Paragraph"/>
    <w:basedOn w:val="Normal"/>
    <w:uiPriority w:val="1"/>
    <w:qFormat/>
    <w:rsid w:val="00C97E62"/>
    <w:pPr>
      <w:autoSpaceDE w:val="0"/>
      <w:autoSpaceDN w:val="0"/>
      <w:ind w:left="1540"/>
      <w:jc w:val="both"/>
    </w:pPr>
    <w:rPr>
      <w:rFonts w:ascii="Times New Roman" w:hAnsi="Times New Roman" w:cs="Times New Roman"/>
    </w:rPr>
  </w:style>
  <w:style w:type="character" w:styleId="Emphasis">
    <w:name w:val="Emphasis"/>
    <w:basedOn w:val="DefaultParagraphFont"/>
    <w:uiPriority w:val="20"/>
    <w:qFormat/>
    <w:rsid w:val="0008031E"/>
    <w:rPr>
      <w:i/>
      <w:iCs/>
    </w:rPr>
  </w:style>
  <w:style w:type="character" w:styleId="CommentReference">
    <w:name w:val="annotation reference"/>
    <w:basedOn w:val="DefaultParagraphFont"/>
    <w:uiPriority w:val="99"/>
    <w:semiHidden/>
    <w:unhideWhenUsed/>
    <w:rsid w:val="00592220"/>
    <w:rPr>
      <w:sz w:val="16"/>
      <w:szCs w:val="16"/>
    </w:rPr>
  </w:style>
  <w:style w:type="paragraph" w:styleId="CommentText">
    <w:name w:val="annotation text"/>
    <w:basedOn w:val="Normal"/>
    <w:link w:val="CommentTextChar"/>
    <w:uiPriority w:val="99"/>
    <w:unhideWhenUsed/>
    <w:rsid w:val="00592220"/>
    <w:rPr>
      <w:sz w:val="20"/>
      <w:szCs w:val="20"/>
    </w:rPr>
  </w:style>
  <w:style w:type="character" w:customStyle="1" w:styleId="CommentTextChar">
    <w:name w:val="Comment Text Char"/>
    <w:basedOn w:val="DefaultParagraphFont"/>
    <w:link w:val="CommentText"/>
    <w:uiPriority w:val="99"/>
    <w:rsid w:val="00592220"/>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592220"/>
    <w:rPr>
      <w:b/>
      <w:bCs/>
    </w:rPr>
  </w:style>
  <w:style w:type="character" w:customStyle="1" w:styleId="CommentSubjectChar">
    <w:name w:val="Comment Subject Char"/>
    <w:basedOn w:val="CommentTextChar"/>
    <w:link w:val="CommentSubject"/>
    <w:uiPriority w:val="99"/>
    <w:semiHidden/>
    <w:rsid w:val="00592220"/>
    <w:rPr>
      <w:rFonts w:ascii="Calibri" w:hAnsi="Calibri" w:cs="Calibri"/>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9815">
      <w:bodyDiv w:val="1"/>
      <w:marLeft w:val="0"/>
      <w:marRight w:val="0"/>
      <w:marTop w:val="0"/>
      <w:marBottom w:val="0"/>
      <w:divBdr>
        <w:top w:val="none" w:sz="0" w:space="0" w:color="auto"/>
        <w:left w:val="none" w:sz="0" w:space="0" w:color="auto"/>
        <w:bottom w:val="none" w:sz="0" w:space="0" w:color="auto"/>
        <w:right w:val="none" w:sz="0" w:space="0" w:color="auto"/>
      </w:divBdr>
    </w:div>
    <w:div w:id="307593041">
      <w:bodyDiv w:val="1"/>
      <w:marLeft w:val="0"/>
      <w:marRight w:val="0"/>
      <w:marTop w:val="0"/>
      <w:marBottom w:val="0"/>
      <w:divBdr>
        <w:top w:val="none" w:sz="0" w:space="0" w:color="auto"/>
        <w:left w:val="none" w:sz="0" w:space="0" w:color="auto"/>
        <w:bottom w:val="none" w:sz="0" w:space="0" w:color="auto"/>
        <w:right w:val="none" w:sz="0" w:space="0" w:color="auto"/>
      </w:divBdr>
      <w:divsChild>
        <w:div w:id="1773043301">
          <w:marLeft w:val="0"/>
          <w:marRight w:val="0"/>
          <w:marTop w:val="0"/>
          <w:marBottom w:val="0"/>
          <w:divBdr>
            <w:top w:val="none" w:sz="0" w:space="0" w:color="auto"/>
            <w:left w:val="none" w:sz="0" w:space="0" w:color="auto"/>
            <w:bottom w:val="none" w:sz="0" w:space="0" w:color="auto"/>
            <w:right w:val="none" w:sz="0" w:space="0" w:color="auto"/>
          </w:divBdr>
          <w:divsChild>
            <w:div w:id="1689527241">
              <w:marLeft w:val="0"/>
              <w:marRight w:val="0"/>
              <w:marTop w:val="0"/>
              <w:marBottom w:val="0"/>
              <w:divBdr>
                <w:top w:val="none" w:sz="0" w:space="0" w:color="auto"/>
                <w:left w:val="none" w:sz="0" w:space="0" w:color="auto"/>
                <w:bottom w:val="none" w:sz="0" w:space="0" w:color="auto"/>
                <w:right w:val="none" w:sz="0" w:space="0" w:color="auto"/>
              </w:divBdr>
              <w:divsChild>
                <w:div w:id="1641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98130">
      <w:bodyDiv w:val="1"/>
      <w:marLeft w:val="0"/>
      <w:marRight w:val="0"/>
      <w:marTop w:val="0"/>
      <w:marBottom w:val="0"/>
      <w:divBdr>
        <w:top w:val="none" w:sz="0" w:space="0" w:color="auto"/>
        <w:left w:val="none" w:sz="0" w:space="0" w:color="auto"/>
        <w:bottom w:val="none" w:sz="0" w:space="0" w:color="auto"/>
        <w:right w:val="none" w:sz="0" w:space="0" w:color="auto"/>
      </w:divBdr>
    </w:div>
    <w:div w:id="387340364">
      <w:bodyDiv w:val="1"/>
      <w:marLeft w:val="0"/>
      <w:marRight w:val="0"/>
      <w:marTop w:val="0"/>
      <w:marBottom w:val="0"/>
      <w:divBdr>
        <w:top w:val="none" w:sz="0" w:space="0" w:color="auto"/>
        <w:left w:val="none" w:sz="0" w:space="0" w:color="auto"/>
        <w:bottom w:val="none" w:sz="0" w:space="0" w:color="auto"/>
        <w:right w:val="none" w:sz="0" w:space="0" w:color="auto"/>
      </w:divBdr>
    </w:div>
    <w:div w:id="544214968">
      <w:bodyDiv w:val="1"/>
      <w:marLeft w:val="0"/>
      <w:marRight w:val="0"/>
      <w:marTop w:val="0"/>
      <w:marBottom w:val="0"/>
      <w:divBdr>
        <w:top w:val="none" w:sz="0" w:space="0" w:color="auto"/>
        <w:left w:val="none" w:sz="0" w:space="0" w:color="auto"/>
        <w:bottom w:val="none" w:sz="0" w:space="0" w:color="auto"/>
        <w:right w:val="none" w:sz="0" w:space="0" w:color="auto"/>
      </w:divBdr>
      <w:divsChild>
        <w:div w:id="1149597061">
          <w:marLeft w:val="0"/>
          <w:marRight w:val="0"/>
          <w:marTop w:val="0"/>
          <w:marBottom w:val="0"/>
          <w:divBdr>
            <w:top w:val="none" w:sz="0" w:space="0" w:color="auto"/>
            <w:left w:val="none" w:sz="0" w:space="0" w:color="auto"/>
            <w:bottom w:val="none" w:sz="0" w:space="0" w:color="auto"/>
            <w:right w:val="none" w:sz="0" w:space="0" w:color="auto"/>
          </w:divBdr>
          <w:divsChild>
            <w:div w:id="1871189295">
              <w:marLeft w:val="0"/>
              <w:marRight w:val="0"/>
              <w:marTop w:val="0"/>
              <w:marBottom w:val="0"/>
              <w:divBdr>
                <w:top w:val="none" w:sz="0" w:space="0" w:color="auto"/>
                <w:left w:val="none" w:sz="0" w:space="0" w:color="auto"/>
                <w:bottom w:val="none" w:sz="0" w:space="0" w:color="auto"/>
                <w:right w:val="none" w:sz="0" w:space="0" w:color="auto"/>
              </w:divBdr>
              <w:divsChild>
                <w:div w:id="17224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98975">
      <w:bodyDiv w:val="1"/>
      <w:marLeft w:val="0"/>
      <w:marRight w:val="0"/>
      <w:marTop w:val="0"/>
      <w:marBottom w:val="0"/>
      <w:divBdr>
        <w:top w:val="none" w:sz="0" w:space="0" w:color="auto"/>
        <w:left w:val="none" w:sz="0" w:space="0" w:color="auto"/>
        <w:bottom w:val="none" w:sz="0" w:space="0" w:color="auto"/>
        <w:right w:val="none" w:sz="0" w:space="0" w:color="auto"/>
      </w:divBdr>
      <w:divsChild>
        <w:div w:id="1639603674">
          <w:marLeft w:val="0"/>
          <w:marRight w:val="0"/>
          <w:marTop w:val="0"/>
          <w:marBottom w:val="0"/>
          <w:divBdr>
            <w:top w:val="none" w:sz="0" w:space="0" w:color="auto"/>
            <w:left w:val="none" w:sz="0" w:space="0" w:color="auto"/>
            <w:bottom w:val="none" w:sz="0" w:space="0" w:color="auto"/>
            <w:right w:val="none" w:sz="0" w:space="0" w:color="auto"/>
          </w:divBdr>
          <w:divsChild>
            <w:div w:id="267586026">
              <w:marLeft w:val="0"/>
              <w:marRight w:val="0"/>
              <w:marTop w:val="0"/>
              <w:marBottom w:val="0"/>
              <w:divBdr>
                <w:top w:val="none" w:sz="0" w:space="0" w:color="auto"/>
                <w:left w:val="none" w:sz="0" w:space="0" w:color="auto"/>
                <w:bottom w:val="none" w:sz="0" w:space="0" w:color="auto"/>
                <w:right w:val="none" w:sz="0" w:space="0" w:color="auto"/>
              </w:divBdr>
              <w:divsChild>
                <w:div w:id="3483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10229">
      <w:bodyDiv w:val="1"/>
      <w:marLeft w:val="0"/>
      <w:marRight w:val="0"/>
      <w:marTop w:val="0"/>
      <w:marBottom w:val="0"/>
      <w:divBdr>
        <w:top w:val="none" w:sz="0" w:space="0" w:color="auto"/>
        <w:left w:val="none" w:sz="0" w:space="0" w:color="auto"/>
        <w:bottom w:val="none" w:sz="0" w:space="0" w:color="auto"/>
        <w:right w:val="none" w:sz="0" w:space="0" w:color="auto"/>
      </w:divBdr>
    </w:div>
    <w:div w:id="857348285">
      <w:bodyDiv w:val="1"/>
      <w:marLeft w:val="0"/>
      <w:marRight w:val="0"/>
      <w:marTop w:val="0"/>
      <w:marBottom w:val="0"/>
      <w:divBdr>
        <w:top w:val="none" w:sz="0" w:space="0" w:color="auto"/>
        <w:left w:val="none" w:sz="0" w:space="0" w:color="auto"/>
        <w:bottom w:val="none" w:sz="0" w:space="0" w:color="auto"/>
        <w:right w:val="none" w:sz="0" w:space="0" w:color="auto"/>
      </w:divBdr>
    </w:div>
    <w:div w:id="860432671">
      <w:bodyDiv w:val="1"/>
      <w:marLeft w:val="0"/>
      <w:marRight w:val="0"/>
      <w:marTop w:val="0"/>
      <w:marBottom w:val="0"/>
      <w:divBdr>
        <w:top w:val="none" w:sz="0" w:space="0" w:color="auto"/>
        <w:left w:val="none" w:sz="0" w:space="0" w:color="auto"/>
        <w:bottom w:val="none" w:sz="0" w:space="0" w:color="auto"/>
        <w:right w:val="none" w:sz="0" w:space="0" w:color="auto"/>
      </w:divBdr>
      <w:divsChild>
        <w:div w:id="1699624762">
          <w:marLeft w:val="0"/>
          <w:marRight w:val="0"/>
          <w:marTop w:val="0"/>
          <w:marBottom w:val="0"/>
          <w:divBdr>
            <w:top w:val="none" w:sz="0" w:space="0" w:color="auto"/>
            <w:left w:val="none" w:sz="0" w:space="0" w:color="auto"/>
            <w:bottom w:val="none" w:sz="0" w:space="0" w:color="auto"/>
            <w:right w:val="none" w:sz="0" w:space="0" w:color="auto"/>
          </w:divBdr>
          <w:divsChild>
            <w:div w:id="360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6074">
      <w:bodyDiv w:val="1"/>
      <w:marLeft w:val="0"/>
      <w:marRight w:val="0"/>
      <w:marTop w:val="0"/>
      <w:marBottom w:val="0"/>
      <w:divBdr>
        <w:top w:val="none" w:sz="0" w:space="0" w:color="auto"/>
        <w:left w:val="none" w:sz="0" w:space="0" w:color="auto"/>
        <w:bottom w:val="none" w:sz="0" w:space="0" w:color="auto"/>
        <w:right w:val="none" w:sz="0" w:space="0" w:color="auto"/>
      </w:divBdr>
    </w:div>
    <w:div w:id="1108693964">
      <w:bodyDiv w:val="1"/>
      <w:marLeft w:val="0"/>
      <w:marRight w:val="0"/>
      <w:marTop w:val="0"/>
      <w:marBottom w:val="0"/>
      <w:divBdr>
        <w:top w:val="none" w:sz="0" w:space="0" w:color="auto"/>
        <w:left w:val="none" w:sz="0" w:space="0" w:color="auto"/>
        <w:bottom w:val="none" w:sz="0" w:space="0" w:color="auto"/>
        <w:right w:val="none" w:sz="0" w:space="0" w:color="auto"/>
      </w:divBdr>
      <w:divsChild>
        <w:div w:id="1694648961">
          <w:marLeft w:val="0"/>
          <w:marRight w:val="0"/>
          <w:marTop w:val="0"/>
          <w:marBottom w:val="0"/>
          <w:divBdr>
            <w:top w:val="none" w:sz="0" w:space="0" w:color="auto"/>
            <w:left w:val="none" w:sz="0" w:space="0" w:color="auto"/>
            <w:bottom w:val="none" w:sz="0" w:space="0" w:color="auto"/>
            <w:right w:val="none" w:sz="0" w:space="0" w:color="auto"/>
          </w:divBdr>
          <w:divsChild>
            <w:div w:id="926035503">
              <w:marLeft w:val="0"/>
              <w:marRight w:val="0"/>
              <w:marTop w:val="0"/>
              <w:marBottom w:val="0"/>
              <w:divBdr>
                <w:top w:val="none" w:sz="0" w:space="0" w:color="auto"/>
                <w:left w:val="none" w:sz="0" w:space="0" w:color="auto"/>
                <w:bottom w:val="none" w:sz="0" w:space="0" w:color="auto"/>
                <w:right w:val="none" w:sz="0" w:space="0" w:color="auto"/>
              </w:divBdr>
              <w:divsChild>
                <w:div w:id="7709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5330">
      <w:bodyDiv w:val="1"/>
      <w:marLeft w:val="0"/>
      <w:marRight w:val="0"/>
      <w:marTop w:val="0"/>
      <w:marBottom w:val="0"/>
      <w:divBdr>
        <w:top w:val="none" w:sz="0" w:space="0" w:color="auto"/>
        <w:left w:val="none" w:sz="0" w:space="0" w:color="auto"/>
        <w:bottom w:val="none" w:sz="0" w:space="0" w:color="auto"/>
        <w:right w:val="none" w:sz="0" w:space="0" w:color="auto"/>
      </w:divBdr>
      <w:divsChild>
        <w:div w:id="2031830133">
          <w:marLeft w:val="0"/>
          <w:marRight w:val="0"/>
          <w:marTop w:val="0"/>
          <w:marBottom w:val="0"/>
          <w:divBdr>
            <w:top w:val="none" w:sz="0" w:space="0" w:color="auto"/>
            <w:left w:val="none" w:sz="0" w:space="0" w:color="auto"/>
            <w:bottom w:val="none" w:sz="0" w:space="0" w:color="auto"/>
            <w:right w:val="none" w:sz="0" w:space="0" w:color="auto"/>
          </w:divBdr>
          <w:divsChild>
            <w:div w:id="488905690">
              <w:marLeft w:val="0"/>
              <w:marRight w:val="0"/>
              <w:marTop w:val="0"/>
              <w:marBottom w:val="0"/>
              <w:divBdr>
                <w:top w:val="none" w:sz="0" w:space="0" w:color="auto"/>
                <w:left w:val="none" w:sz="0" w:space="0" w:color="auto"/>
                <w:bottom w:val="none" w:sz="0" w:space="0" w:color="auto"/>
                <w:right w:val="none" w:sz="0" w:space="0" w:color="auto"/>
              </w:divBdr>
              <w:divsChild>
                <w:div w:id="9909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15895">
      <w:bodyDiv w:val="1"/>
      <w:marLeft w:val="0"/>
      <w:marRight w:val="0"/>
      <w:marTop w:val="0"/>
      <w:marBottom w:val="0"/>
      <w:divBdr>
        <w:top w:val="none" w:sz="0" w:space="0" w:color="auto"/>
        <w:left w:val="none" w:sz="0" w:space="0" w:color="auto"/>
        <w:bottom w:val="none" w:sz="0" w:space="0" w:color="auto"/>
        <w:right w:val="none" w:sz="0" w:space="0" w:color="auto"/>
      </w:divBdr>
      <w:divsChild>
        <w:div w:id="657075475">
          <w:marLeft w:val="0"/>
          <w:marRight w:val="0"/>
          <w:marTop w:val="0"/>
          <w:marBottom w:val="0"/>
          <w:divBdr>
            <w:top w:val="none" w:sz="0" w:space="0" w:color="auto"/>
            <w:left w:val="none" w:sz="0" w:space="0" w:color="auto"/>
            <w:bottom w:val="none" w:sz="0" w:space="0" w:color="auto"/>
            <w:right w:val="none" w:sz="0" w:space="0" w:color="auto"/>
          </w:divBdr>
          <w:divsChild>
            <w:div w:id="565646982">
              <w:marLeft w:val="0"/>
              <w:marRight w:val="0"/>
              <w:marTop w:val="0"/>
              <w:marBottom w:val="0"/>
              <w:divBdr>
                <w:top w:val="none" w:sz="0" w:space="0" w:color="auto"/>
                <w:left w:val="none" w:sz="0" w:space="0" w:color="auto"/>
                <w:bottom w:val="none" w:sz="0" w:space="0" w:color="auto"/>
                <w:right w:val="none" w:sz="0" w:space="0" w:color="auto"/>
              </w:divBdr>
              <w:divsChild>
                <w:div w:id="6095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56605">
      <w:bodyDiv w:val="1"/>
      <w:marLeft w:val="0"/>
      <w:marRight w:val="0"/>
      <w:marTop w:val="0"/>
      <w:marBottom w:val="0"/>
      <w:divBdr>
        <w:top w:val="none" w:sz="0" w:space="0" w:color="auto"/>
        <w:left w:val="none" w:sz="0" w:space="0" w:color="auto"/>
        <w:bottom w:val="none" w:sz="0" w:space="0" w:color="auto"/>
        <w:right w:val="none" w:sz="0" w:space="0" w:color="auto"/>
      </w:divBdr>
      <w:divsChild>
        <w:div w:id="1409687389">
          <w:marLeft w:val="0"/>
          <w:marRight w:val="0"/>
          <w:marTop w:val="0"/>
          <w:marBottom w:val="0"/>
          <w:divBdr>
            <w:top w:val="none" w:sz="0" w:space="0" w:color="auto"/>
            <w:left w:val="none" w:sz="0" w:space="0" w:color="auto"/>
            <w:bottom w:val="none" w:sz="0" w:space="0" w:color="auto"/>
            <w:right w:val="none" w:sz="0" w:space="0" w:color="auto"/>
          </w:divBdr>
          <w:divsChild>
            <w:div w:id="82729856">
              <w:marLeft w:val="0"/>
              <w:marRight w:val="0"/>
              <w:marTop w:val="0"/>
              <w:marBottom w:val="0"/>
              <w:divBdr>
                <w:top w:val="none" w:sz="0" w:space="0" w:color="auto"/>
                <w:left w:val="none" w:sz="0" w:space="0" w:color="auto"/>
                <w:bottom w:val="none" w:sz="0" w:space="0" w:color="auto"/>
                <w:right w:val="none" w:sz="0" w:space="0" w:color="auto"/>
              </w:divBdr>
              <w:divsChild>
                <w:div w:id="12358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3260">
      <w:bodyDiv w:val="1"/>
      <w:marLeft w:val="0"/>
      <w:marRight w:val="0"/>
      <w:marTop w:val="0"/>
      <w:marBottom w:val="0"/>
      <w:divBdr>
        <w:top w:val="none" w:sz="0" w:space="0" w:color="auto"/>
        <w:left w:val="none" w:sz="0" w:space="0" w:color="auto"/>
        <w:bottom w:val="none" w:sz="0" w:space="0" w:color="auto"/>
        <w:right w:val="none" w:sz="0" w:space="0" w:color="auto"/>
      </w:divBdr>
      <w:divsChild>
        <w:div w:id="2077969172">
          <w:marLeft w:val="0"/>
          <w:marRight w:val="0"/>
          <w:marTop w:val="0"/>
          <w:marBottom w:val="0"/>
          <w:divBdr>
            <w:top w:val="none" w:sz="0" w:space="0" w:color="auto"/>
            <w:left w:val="none" w:sz="0" w:space="0" w:color="auto"/>
            <w:bottom w:val="none" w:sz="0" w:space="0" w:color="auto"/>
            <w:right w:val="none" w:sz="0" w:space="0" w:color="auto"/>
          </w:divBdr>
          <w:divsChild>
            <w:div w:id="1794975997">
              <w:marLeft w:val="0"/>
              <w:marRight w:val="0"/>
              <w:marTop w:val="0"/>
              <w:marBottom w:val="0"/>
              <w:divBdr>
                <w:top w:val="none" w:sz="0" w:space="0" w:color="auto"/>
                <w:left w:val="none" w:sz="0" w:space="0" w:color="auto"/>
                <w:bottom w:val="none" w:sz="0" w:space="0" w:color="auto"/>
                <w:right w:val="none" w:sz="0" w:space="0" w:color="auto"/>
              </w:divBdr>
              <w:divsChild>
                <w:div w:id="4964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639">
      <w:bodyDiv w:val="1"/>
      <w:marLeft w:val="0"/>
      <w:marRight w:val="0"/>
      <w:marTop w:val="0"/>
      <w:marBottom w:val="0"/>
      <w:divBdr>
        <w:top w:val="none" w:sz="0" w:space="0" w:color="auto"/>
        <w:left w:val="none" w:sz="0" w:space="0" w:color="auto"/>
        <w:bottom w:val="none" w:sz="0" w:space="0" w:color="auto"/>
        <w:right w:val="none" w:sz="0" w:space="0" w:color="auto"/>
      </w:divBdr>
      <w:divsChild>
        <w:div w:id="1762796516">
          <w:marLeft w:val="0"/>
          <w:marRight w:val="0"/>
          <w:marTop w:val="0"/>
          <w:marBottom w:val="0"/>
          <w:divBdr>
            <w:top w:val="none" w:sz="0" w:space="0" w:color="auto"/>
            <w:left w:val="none" w:sz="0" w:space="0" w:color="auto"/>
            <w:bottom w:val="none" w:sz="0" w:space="0" w:color="auto"/>
            <w:right w:val="none" w:sz="0" w:space="0" w:color="auto"/>
          </w:divBdr>
          <w:divsChild>
            <w:div w:id="716852102">
              <w:marLeft w:val="0"/>
              <w:marRight w:val="0"/>
              <w:marTop w:val="0"/>
              <w:marBottom w:val="0"/>
              <w:divBdr>
                <w:top w:val="none" w:sz="0" w:space="0" w:color="auto"/>
                <w:left w:val="none" w:sz="0" w:space="0" w:color="auto"/>
                <w:bottom w:val="none" w:sz="0" w:space="0" w:color="auto"/>
                <w:right w:val="none" w:sz="0" w:space="0" w:color="auto"/>
              </w:divBdr>
              <w:divsChild>
                <w:div w:id="13643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91C55-A6C6-4CB2-A1A9-206193DD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228</cp:revision>
  <cp:lastPrinted>2023-11-02T14:10:00Z</cp:lastPrinted>
  <dcterms:created xsi:type="dcterms:W3CDTF">2023-10-19T20:58:00Z</dcterms:created>
  <dcterms:modified xsi:type="dcterms:W3CDTF">2023-11-21T20:42:00Z</dcterms:modified>
</cp:coreProperties>
</file>