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97A4" w14:textId="439B7DA3" w:rsidR="0011776D" w:rsidRPr="00BB03BA" w:rsidRDefault="00F23308" w:rsidP="00B75F2D">
      <w:pPr>
        <w:jc w:val="both"/>
        <w:rPr>
          <w:b/>
          <w:bCs/>
          <w:sz w:val="28"/>
          <w:szCs w:val="28"/>
        </w:rPr>
      </w:pPr>
      <w:r w:rsidRPr="00BB03BA">
        <w:rPr>
          <w:b/>
          <w:bCs/>
          <w:sz w:val="28"/>
          <w:szCs w:val="28"/>
        </w:rPr>
        <w:t>4.</w:t>
      </w:r>
      <w:r w:rsidR="00597EC8" w:rsidRPr="00BB03BA">
        <w:rPr>
          <w:b/>
          <w:bCs/>
          <w:sz w:val="28"/>
          <w:szCs w:val="28"/>
        </w:rPr>
        <w:t>37</w:t>
      </w:r>
      <w:r w:rsidRPr="00BB03BA">
        <w:rPr>
          <w:b/>
          <w:bCs/>
          <w:sz w:val="28"/>
          <w:szCs w:val="28"/>
        </w:rPr>
        <w:t xml:space="preserve"> Mental Disease or Defect Evidence to Negate Intent</w:t>
      </w:r>
    </w:p>
    <w:p w14:paraId="140FB5EA" w14:textId="77777777" w:rsidR="00F23308" w:rsidRPr="00BB03BA" w:rsidRDefault="00F23308" w:rsidP="00611FCD">
      <w:pPr>
        <w:ind w:right="720"/>
        <w:jc w:val="both"/>
        <w:rPr>
          <w:b/>
          <w:bCs/>
          <w:sz w:val="28"/>
          <w:szCs w:val="28"/>
        </w:rPr>
      </w:pPr>
    </w:p>
    <w:p w14:paraId="3022C996" w14:textId="68548840" w:rsidR="0011776D" w:rsidRPr="00BB03BA" w:rsidRDefault="0011776D" w:rsidP="00B75F2D">
      <w:pPr>
        <w:ind w:left="720" w:right="720"/>
        <w:jc w:val="both"/>
        <w:rPr>
          <w:b/>
          <w:bCs/>
          <w:sz w:val="28"/>
          <w:szCs w:val="28"/>
        </w:rPr>
      </w:pPr>
      <w:r w:rsidRPr="00BB03BA">
        <w:rPr>
          <w:b/>
          <w:bCs/>
          <w:sz w:val="28"/>
          <w:szCs w:val="28"/>
        </w:rPr>
        <w:t xml:space="preserve">Evidence that the defendant suffers from a mental disease or defect </w:t>
      </w:r>
      <w:r w:rsidR="00376EBA" w:rsidRPr="00BB03BA">
        <w:rPr>
          <w:b/>
          <w:bCs/>
          <w:sz w:val="28"/>
          <w:szCs w:val="28"/>
        </w:rPr>
        <w:t>is admissible</w:t>
      </w:r>
      <w:r w:rsidRPr="00BB03BA">
        <w:rPr>
          <w:b/>
          <w:bCs/>
          <w:sz w:val="28"/>
          <w:szCs w:val="28"/>
        </w:rPr>
        <w:t xml:space="preserve"> to negate a culpable mental state </w:t>
      </w:r>
      <w:r w:rsidR="00BF668C" w:rsidRPr="00BB03BA">
        <w:rPr>
          <w:b/>
          <w:bCs/>
          <w:sz w:val="28"/>
          <w:szCs w:val="28"/>
        </w:rPr>
        <w:t>of intent</w:t>
      </w:r>
      <w:r w:rsidR="007643DF" w:rsidRPr="00BB03BA">
        <w:rPr>
          <w:b/>
          <w:bCs/>
          <w:sz w:val="28"/>
          <w:szCs w:val="28"/>
        </w:rPr>
        <w:t>,</w:t>
      </w:r>
      <w:r w:rsidR="00BF668C" w:rsidRPr="00BB03BA">
        <w:rPr>
          <w:b/>
          <w:bCs/>
          <w:sz w:val="28"/>
          <w:szCs w:val="28"/>
        </w:rPr>
        <w:t xml:space="preserve"> </w:t>
      </w:r>
      <w:r w:rsidRPr="00BB03BA">
        <w:rPr>
          <w:b/>
          <w:bCs/>
          <w:sz w:val="28"/>
          <w:szCs w:val="28"/>
        </w:rPr>
        <w:t xml:space="preserve">notwithstanding </w:t>
      </w:r>
      <w:r w:rsidR="00775493" w:rsidRPr="00BB03BA">
        <w:rPr>
          <w:b/>
          <w:bCs/>
          <w:sz w:val="28"/>
          <w:szCs w:val="28"/>
        </w:rPr>
        <w:t xml:space="preserve">that </w:t>
      </w:r>
      <w:r w:rsidRPr="00BB03BA">
        <w:rPr>
          <w:b/>
          <w:bCs/>
          <w:sz w:val="28"/>
          <w:szCs w:val="28"/>
        </w:rPr>
        <w:t xml:space="preserve">the defendant does not interpose the </w:t>
      </w:r>
      <w:r w:rsidR="00775493" w:rsidRPr="00BB03BA">
        <w:rPr>
          <w:b/>
          <w:bCs/>
          <w:sz w:val="28"/>
          <w:szCs w:val="28"/>
        </w:rPr>
        <w:t>affirmative</w:t>
      </w:r>
      <w:r w:rsidRPr="00BB03BA">
        <w:rPr>
          <w:b/>
          <w:bCs/>
          <w:sz w:val="28"/>
          <w:szCs w:val="28"/>
        </w:rPr>
        <w:t xml:space="preserve"> defense of mental disease or defect.</w:t>
      </w:r>
    </w:p>
    <w:p w14:paraId="21D4B4D3" w14:textId="77777777" w:rsidR="0011776D" w:rsidRPr="00BB03BA" w:rsidRDefault="0011776D" w:rsidP="00B75F2D">
      <w:pPr>
        <w:jc w:val="both"/>
        <w:rPr>
          <w:b/>
          <w:bCs/>
          <w:sz w:val="28"/>
          <w:szCs w:val="28"/>
        </w:rPr>
      </w:pPr>
    </w:p>
    <w:p w14:paraId="78810501" w14:textId="586AE219" w:rsidR="0011776D" w:rsidRPr="00BB03BA" w:rsidRDefault="0011776D" w:rsidP="00F23308">
      <w:pPr>
        <w:jc w:val="center"/>
        <w:rPr>
          <w:b/>
          <w:bCs/>
        </w:rPr>
      </w:pPr>
      <w:r w:rsidRPr="00BB03BA">
        <w:rPr>
          <w:b/>
          <w:bCs/>
        </w:rPr>
        <w:t>Note</w:t>
      </w:r>
    </w:p>
    <w:p w14:paraId="1770C8BB" w14:textId="5CD15F3C" w:rsidR="0011776D" w:rsidRPr="00BB03BA" w:rsidRDefault="0011776D" w:rsidP="00B75F2D">
      <w:pPr>
        <w:jc w:val="both"/>
      </w:pPr>
    </w:p>
    <w:p w14:paraId="0B6F162D" w14:textId="6DB474E4" w:rsidR="00F16560" w:rsidRPr="00BB03BA" w:rsidRDefault="00611FCD" w:rsidP="00611FCD">
      <w:pPr>
        <w:tabs>
          <w:tab w:val="left" w:pos="720"/>
        </w:tabs>
        <w:jc w:val="both"/>
      </w:pPr>
      <w:r w:rsidRPr="00BB03BA">
        <w:tab/>
      </w:r>
      <w:r w:rsidR="003A3DA6" w:rsidRPr="00BB03BA">
        <w:t xml:space="preserve">A defendant may interpose the affirmative defense of mental disease or defect to negate guilt of a criminal offense. </w:t>
      </w:r>
      <w:r w:rsidR="00002355" w:rsidRPr="00BB03BA">
        <w:t>(</w:t>
      </w:r>
      <w:r w:rsidR="003A3DA6" w:rsidRPr="00BB03BA">
        <w:t>Penal Law § 40.15.</w:t>
      </w:r>
      <w:r w:rsidR="00002355" w:rsidRPr="00BB03BA">
        <w:t>)</w:t>
      </w:r>
      <w:r w:rsidR="003A3DA6" w:rsidRPr="00BB03BA">
        <w:t xml:space="preserve"> Upon doing so, </w:t>
      </w:r>
      <w:r w:rsidR="00F23308" w:rsidRPr="00BB03BA">
        <w:t xml:space="preserve">however, </w:t>
      </w:r>
      <w:r w:rsidR="003A3DA6" w:rsidRPr="00BB03BA">
        <w:t xml:space="preserve">the defendant bears the burden of proving that affirmative defense by a preponderance of the evidence. </w:t>
      </w:r>
      <w:r w:rsidR="00002355" w:rsidRPr="00BB03BA">
        <w:t>(</w:t>
      </w:r>
      <w:r w:rsidR="00F16560" w:rsidRPr="00BB03BA">
        <w:t>Penal Law § 25.00.</w:t>
      </w:r>
      <w:r w:rsidR="00002355" w:rsidRPr="00BB03BA">
        <w:t>)</w:t>
      </w:r>
    </w:p>
    <w:p w14:paraId="3D89AB87" w14:textId="77777777" w:rsidR="00F16560" w:rsidRPr="00BB03BA" w:rsidRDefault="00F16560" w:rsidP="00B75F2D">
      <w:pPr>
        <w:jc w:val="both"/>
      </w:pPr>
    </w:p>
    <w:p w14:paraId="3D00753C" w14:textId="30DDE4F2" w:rsidR="00B75F2D" w:rsidRPr="00BB03BA" w:rsidRDefault="00611FCD" w:rsidP="00611FCD">
      <w:pPr>
        <w:tabs>
          <w:tab w:val="left" w:pos="720"/>
        </w:tabs>
        <w:jc w:val="both"/>
        <w:rPr>
          <w:rFonts w:eastAsia="Times New Roman"/>
        </w:rPr>
      </w:pPr>
      <w:r w:rsidRPr="00BB03BA">
        <w:tab/>
      </w:r>
      <w:r w:rsidR="00F16560" w:rsidRPr="00BB03BA">
        <w:t xml:space="preserve">On the other hand, </w:t>
      </w:r>
      <w:r w:rsidR="00F23308" w:rsidRPr="00BB03BA">
        <w:t>the People bear the burden of proof beyond a reasonable doubt of the elements of an offense.</w:t>
      </w:r>
      <w:r w:rsidR="00DA0202" w:rsidRPr="00BB03BA">
        <w:t xml:space="preserve"> </w:t>
      </w:r>
      <w:r w:rsidR="00F23308" w:rsidRPr="00BB03BA">
        <w:t xml:space="preserve">Thus, when the defendant’s “intent” is an element of an offense, </w:t>
      </w:r>
      <w:r w:rsidR="00F16560" w:rsidRPr="00BB03BA">
        <w:t xml:space="preserve">the People bear the burden of proof beyond a reasonable doubt of </w:t>
      </w:r>
      <w:r w:rsidR="00F23308" w:rsidRPr="00BB03BA">
        <w:t>that intent</w:t>
      </w:r>
      <w:r w:rsidR="003F386E" w:rsidRPr="00BB03BA">
        <w:t>. I</w:t>
      </w:r>
      <w:r w:rsidR="00027F98" w:rsidRPr="00BB03BA">
        <w:t>n turn,</w:t>
      </w:r>
      <w:r w:rsidR="00F16560" w:rsidRPr="00BB03BA">
        <w:t xml:space="preserve"> evidence of the defendant’s mental disease or defect is admissible to negate </w:t>
      </w:r>
      <w:r w:rsidR="00F23308" w:rsidRPr="00BB03BA">
        <w:t>that intent</w:t>
      </w:r>
      <w:r w:rsidR="00F16560" w:rsidRPr="00BB03BA">
        <w:t xml:space="preserve"> regardless of whether the affirmative defense of insanity</w:t>
      </w:r>
      <w:r w:rsidR="00027F98" w:rsidRPr="00BB03BA">
        <w:t xml:space="preserve"> is also in issue. </w:t>
      </w:r>
      <w:r w:rsidR="00270202" w:rsidRPr="00BB03BA">
        <w:t>(</w:t>
      </w:r>
      <w:r w:rsidR="000C634E" w:rsidRPr="00BB03BA">
        <w:rPr>
          <w:rFonts w:eastAsia="Times New Roman"/>
          <w:i/>
          <w:iCs/>
        </w:rPr>
        <w:t>People v Segal</w:t>
      </w:r>
      <w:r w:rsidR="000C634E" w:rsidRPr="00BB03BA">
        <w:rPr>
          <w:rFonts w:eastAsia="Times New Roman"/>
        </w:rPr>
        <w:t>, 54 NY2d 58, 66 [1981]</w:t>
      </w:r>
      <w:r w:rsidR="00027F98" w:rsidRPr="00BB03BA">
        <w:rPr>
          <w:rFonts w:eastAsia="Times New Roman"/>
        </w:rPr>
        <w:t xml:space="preserve"> </w:t>
      </w:r>
      <w:r w:rsidR="00DA0202" w:rsidRPr="00BB03BA">
        <w:rPr>
          <w:rFonts w:eastAsia="Times New Roman"/>
        </w:rPr>
        <w:t>[</w:t>
      </w:r>
      <w:r w:rsidR="00DA0202" w:rsidRPr="00BB03BA">
        <w:rPr>
          <w:rFonts w:eastAsia="Times New Roman"/>
          <w:shd w:val="clear" w:color="auto" w:fill="FFFFFF"/>
        </w:rPr>
        <w:t>“Although proof of a mental defect other than insanity may not have acquired the status of a statutory defense, and will not constitute a ‘complete’ defense in the sense that it would relieve the defendant of responsibility for all his (or her) acts (see, e.g., Penal Law, § 30.05) it may in a particular case negate a specific intent necessary to establish guilt”]</w:t>
      </w:r>
      <w:r w:rsidR="00027F98" w:rsidRPr="00BB03BA">
        <w:rPr>
          <w:rFonts w:eastAsia="Times New Roman"/>
        </w:rPr>
        <w:t>;</w:t>
      </w:r>
      <w:r w:rsidR="00DA0202" w:rsidRPr="00BB03BA">
        <w:rPr>
          <w:rFonts w:eastAsia="Times New Roman"/>
        </w:rPr>
        <w:t xml:space="preserve"> </w:t>
      </w:r>
      <w:r w:rsidR="002953A8" w:rsidRPr="00BB03BA">
        <w:rPr>
          <w:rFonts w:eastAsia="Times New Roman"/>
          <w:i/>
          <w:iCs/>
        </w:rPr>
        <w:t>People v Moran</w:t>
      </w:r>
      <w:r w:rsidR="002953A8" w:rsidRPr="00BB03BA">
        <w:rPr>
          <w:rFonts w:eastAsia="Times New Roman"/>
        </w:rPr>
        <w:t xml:space="preserve">, </w:t>
      </w:r>
      <w:bookmarkStart w:id="0" w:name="_Hlk128585335"/>
      <w:r w:rsidR="002953A8" w:rsidRPr="00BB03BA">
        <w:rPr>
          <w:rFonts w:eastAsia="Times New Roman"/>
        </w:rPr>
        <w:t>249 NY 179</w:t>
      </w:r>
      <w:bookmarkEnd w:id="0"/>
      <w:r w:rsidR="002953A8" w:rsidRPr="00BB03BA">
        <w:rPr>
          <w:rFonts w:eastAsia="Times New Roman"/>
        </w:rPr>
        <w:t>, 180 [1928]</w:t>
      </w:r>
      <w:r w:rsidR="00027F98" w:rsidRPr="00BB03BA">
        <w:rPr>
          <w:rFonts w:eastAsia="Times New Roman"/>
        </w:rPr>
        <w:t xml:space="preserve"> [“</w:t>
      </w:r>
      <w:r w:rsidR="002953A8" w:rsidRPr="00BB03BA">
        <w:rPr>
          <w:rFonts w:eastAsia="Times New Roman"/>
        </w:rPr>
        <w:t xml:space="preserve">Feebleness of mind or will, even though not so extreme as to justify a finding that the defendant is irresponsible </w:t>
      </w:r>
      <w:r w:rsidR="00703ED9" w:rsidRPr="00BB03BA">
        <w:rPr>
          <w:rFonts w:eastAsia="Times New Roman"/>
        </w:rPr>
        <w:t>(</w:t>
      </w:r>
      <w:r w:rsidR="002953A8" w:rsidRPr="00BB03BA">
        <w:rPr>
          <w:rFonts w:eastAsia="Times New Roman"/>
        </w:rPr>
        <w:t>per the defense of insanity</w:t>
      </w:r>
      <w:r w:rsidR="00703ED9" w:rsidRPr="00BB03BA">
        <w:rPr>
          <w:rFonts w:eastAsia="Times New Roman"/>
        </w:rPr>
        <w:t>)</w:t>
      </w:r>
      <w:r w:rsidR="002953A8" w:rsidRPr="00BB03BA">
        <w:rPr>
          <w:rFonts w:eastAsia="Times New Roman"/>
        </w:rPr>
        <w:t>, may properly be considered by the triers of the facts in determining whether a homicide has been committed with a deliberate and premeditated design to kill</w:t>
      </w:r>
      <w:r w:rsidR="00DA0202" w:rsidRPr="00BB03BA">
        <w:rPr>
          <w:rFonts w:eastAsia="Times New Roman"/>
        </w:rPr>
        <w:t>”</w:t>
      </w:r>
      <w:r w:rsidR="00027F98" w:rsidRPr="00BB03BA">
        <w:rPr>
          <w:rFonts w:eastAsia="Times New Roman"/>
        </w:rPr>
        <w:t xml:space="preserve">]; </w:t>
      </w:r>
      <w:r w:rsidR="00B75F2D" w:rsidRPr="00BB03BA">
        <w:rPr>
          <w:rFonts w:eastAsia="Times New Roman"/>
          <w:i/>
          <w:iCs/>
        </w:rPr>
        <w:t>People v Matthews</w:t>
      </w:r>
      <w:r w:rsidR="00B75F2D" w:rsidRPr="00BB03BA">
        <w:rPr>
          <w:rFonts w:eastAsia="Times New Roman"/>
        </w:rPr>
        <w:t>, 148 AD2d 272, 278 [4th Dept 1989]</w:t>
      </w:r>
      <w:r w:rsidR="00027F98" w:rsidRPr="00BB03BA">
        <w:rPr>
          <w:rFonts w:eastAsia="Times New Roman"/>
        </w:rPr>
        <w:t xml:space="preserve"> [“</w:t>
      </w:r>
      <w:r w:rsidR="00B75F2D" w:rsidRPr="00BB03BA">
        <w:rPr>
          <w:rFonts w:eastAsia="Times New Roman"/>
        </w:rPr>
        <w:t>It is well established that proof of a mental defect or deficiency short of insanity, although not having acquired the status of a statutory defense, may still negate a finding of specific intent essential to sustain a conviction</w:t>
      </w:r>
      <w:r w:rsidR="00027F98" w:rsidRPr="00BB03BA">
        <w:rPr>
          <w:rFonts w:eastAsia="Times New Roman"/>
        </w:rPr>
        <w:t>”].</w:t>
      </w:r>
      <w:r w:rsidR="00270202" w:rsidRPr="00BB03BA">
        <w:rPr>
          <w:rFonts w:eastAsia="Times New Roman"/>
        </w:rPr>
        <w:t>)</w:t>
      </w:r>
    </w:p>
    <w:p w14:paraId="2DBA7755" w14:textId="6580C5A7" w:rsidR="00CD2B5A" w:rsidRPr="00BB03BA" w:rsidRDefault="00CD2B5A" w:rsidP="00B75F2D">
      <w:pPr>
        <w:jc w:val="both"/>
      </w:pPr>
    </w:p>
    <w:p w14:paraId="6D73CAF3" w14:textId="6F5315E2" w:rsidR="000C634E" w:rsidRPr="00BB03BA" w:rsidRDefault="00611FCD" w:rsidP="00611FCD">
      <w:pPr>
        <w:shd w:val="clear" w:color="auto" w:fill="FFFFFF"/>
        <w:tabs>
          <w:tab w:val="left" w:pos="720"/>
        </w:tabs>
        <w:spacing w:before="0"/>
        <w:jc w:val="both"/>
        <w:rPr>
          <w:rFonts w:eastAsia="Times New Roman"/>
        </w:rPr>
      </w:pPr>
      <w:r w:rsidRPr="00BB03BA">
        <w:tab/>
      </w:r>
      <w:r w:rsidR="001416A4" w:rsidRPr="00BB03BA">
        <w:t xml:space="preserve">The affirmative defense of </w:t>
      </w:r>
      <w:r w:rsidR="00067820" w:rsidRPr="00BB03BA">
        <w:t>mental disease or defect “</w:t>
      </w:r>
      <w:r w:rsidR="000C634E" w:rsidRPr="00BB03BA">
        <w:rPr>
          <w:rFonts w:eastAsia="Times New Roman"/>
        </w:rPr>
        <w:t xml:space="preserve">is not the same as a </w:t>
      </w:r>
      <w:r w:rsidR="000C634E" w:rsidRPr="00BB03BA">
        <w:rPr>
          <w:rFonts w:eastAsia="Times New Roman"/>
          <w:i/>
          <w:iCs/>
        </w:rPr>
        <w:t>mens rea</w:t>
      </w:r>
      <w:r w:rsidR="000C634E" w:rsidRPr="00BB03BA">
        <w:rPr>
          <w:rFonts w:eastAsia="Times New Roman"/>
        </w:rPr>
        <w:t>-type defense. . . . (</w:t>
      </w:r>
      <w:proofErr w:type="gramStart"/>
      <w:r w:rsidR="000C634E" w:rsidRPr="00BB03BA">
        <w:rPr>
          <w:rFonts w:eastAsia="Times New Roman"/>
          <w:i/>
          <w:iCs/>
        </w:rPr>
        <w:t>see</w:t>
      </w:r>
      <w:proofErr w:type="gramEnd"/>
      <w:r w:rsidR="000C634E" w:rsidRPr="00BB03BA">
        <w:rPr>
          <w:rFonts w:eastAsia="Times New Roman"/>
          <w:i/>
          <w:iCs/>
        </w:rPr>
        <w:t xml:space="preserve"> generally</w:t>
      </w:r>
      <w:r w:rsidRPr="00BB03BA">
        <w:rPr>
          <w:rFonts w:eastAsia="Times New Roman"/>
        </w:rPr>
        <w:t>,</w:t>
      </w:r>
      <w:r w:rsidR="000C634E" w:rsidRPr="00BB03BA">
        <w:rPr>
          <w:rFonts w:eastAsia="Times New Roman"/>
        </w:rPr>
        <w:t xml:space="preserve"> Penal Law § 25.00</w:t>
      </w:r>
      <w:r w:rsidR="00FC02BA" w:rsidRPr="00BB03BA">
        <w:rPr>
          <w:rFonts w:eastAsia="Times New Roman"/>
        </w:rPr>
        <w:t xml:space="preserve"> </w:t>
      </w:r>
      <w:r w:rsidR="000C634E" w:rsidRPr="00BB03BA">
        <w:rPr>
          <w:rFonts w:eastAsia="Times New Roman"/>
        </w:rPr>
        <w:t>[2]; Donnino, Practice Commentary, McKinney</w:t>
      </w:r>
      <w:r w:rsidR="00223158" w:rsidRPr="00BB03BA">
        <w:rPr>
          <w:rFonts w:eastAsia="Times New Roman"/>
        </w:rPr>
        <w:t>’</w:t>
      </w:r>
      <w:r w:rsidR="000C634E" w:rsidRPr="00BB03BA">
        <w:rPr>
          <w:rFonts w:eastAsia="Times New Roman"/>
        </w:rPr>
        <w:t xml:space="preserve">s Cons Laws of NY, Book 39, Penal Law § 40.15, at 203). An insanity affirmative defense is defined by the precise wording of Penal Law § 40.15, which contemplates that </w:t>
      </w:r>
      <w:proofErr w:type="gramStart"/>
      <w:r w:rsidR="000C634E" w:rsidRPr="00BB03BA">
        <w:rPr>
          <w:rFonts w:eastAsia="Times New Roman"/>
        </w:rPr>
        <w:t>as a result of</w:t>
      </w:r>
      <w:proofErr w:type="gramEnd"/>
      <w:r w:rsidR="000C634E" w:rsidRPr="00BB03BA">
        <w:rPr>
          <w:rFonts w:eastAsia="Times New Roman"/>
        </w:rPr>
        <w:t xml:space="preserve"> mental disease or defect, the defendant lacks substantial capacity to know or appreciate either the nature and consequences of such conduct or that such conduct was wrong. A </w:t>
      </w:r>
      <w:proofErr w:type="spellStart"/>
      <w:r w:rsidR="000C634E" w:rsidRPr="00BB03BA">
        <w:rPr>
          <w:rFonts w:eastAsia="Times New Roman"/>
          <w:i/>
          <w:iCs/>
        </w:rPr>
        <w:t>mens</w:t>
      </w:r>
      <w:proofErr w:type="spellEnd"/>
      <w:r w:rsidR="000C634E" w:rsidRPr="00BB03BA">
        <w:rPr>
          <w:rFonts w:eastAsia="Times New Roman"/>
          <w:i/>
          <w:iCs/>
        </w:rPr>
        <w:t xml:space="preserve"> rea</w:t>
      </w:r>
      <w:r w:rsidR="000C634E" w:rsidRPr="00BB03BA">
        <w:rPr>
          <w:rFonts w:eastAsia="Times New Roman"/>
        </w:rPr>
        <w:t>-type defense, by contrast, serves to negate a specific intent necessary to establish guilt</w:t>
      </w:r>
      <w:r w:rsidR="000447EE" w:rsidRPr="00BB03BA">
        <w:rPr>
          <w:rFonts w:eastAsia="Times New Roman"/>
        </w:rPr>
        <w:t xml:space="preserve">.” </w:t>
      </w:r>
      <w:r w:rsidR="00FC02BA" w:rsidRPr="00BB03BA">
        <w:rPr>
          <w:rFonts w:eastAsia="Times New Roman"/>
        </w:rPr>
        <w:t>(</w:t>
      </w:r>
      <w:r w:rsidR="000C634E" w:rsidRPr="00BB03BA">
        <w:rPr>
          <w:rFonts w:eastAsia="Times New Roman"/>
          <w:i/>
          <w:iCs/>
        </w:rPr>
        <w:t>People v Almonor</w:t>
      </w:r>
      <w:r w:rsidR="000C634E" w:rsidRPr="00BB03BA">
        <w:rPr>
          <w:rFonts w:eastAsia="Times New Roman"/>
        </w:rPr>
        <w:t>, 93 NY2d 571, 580 [1999]</w:t>
      </w:r>
      <w:r w:rsidR="00EC5A1D" w:rsidRPr="00BB03BA">
        <w:rPr>
          <w:rFonts w:eastAsia="Times New Roman"/>
        </w:rPr>
        <w:t>.</w:t>
      </w:r>
      <w:r w:rsidR="00FC02BA" w:rsidRPr="00BB03BA">
        <w:rPr>
          <w:rFonts w:eastAsia="Times New Roman"/>
        </w:rPr>
        <w:t>)</w:t>
      </w:r>
    </w:p>
    <w:p w14:paraId="1F664A51" w14:textId="323DCD22" w:rsidR="000447EE" w:rsidRPr="00BB03BA" w:rsidRDefault="000447EE" w:rsidP="00B75F2D">
      <w:pPr>
        <w:shd w:val="clear" w:color="auto" w:fill="FFFFFF"/>
        <w:spacing w:before="0"/>
        <w:jc w:val="both"/>
        <w:rPr>
          <w:rFonts w:eastAsia="Times New Roman"/>
        </w:rPr>
      </w:pPr>
    </w:p>
    <w:p w14:paraId="1595F7E6" w14:textId="650AF33D" w:rsidR="0011776D" w:rsidRPr="00BB03BA" w:rsidRDefault="00611FCD" w:rsidP="00611FCD">
      <w:pPr>
        <w:shd w:val="clear" w:color="auto" w:fill="FFFFFF"/>
        <w:tabs>
          <w:tab w:val="left" w:pos="720"/>
        </w:tabs>
        <w:spacing w:before="0"/>
        <w:jc w:val="both"/>
        <w:rPr>
          <w:rFonts w:eastAsia="Times New Roman"/>
        </w:rPr>
      </w:pPr>
      <w:r w:rsidRPr="00BB03BA">
        <w:rPr>
          <w:rFonts w:eastAsia="Times New Roman"/>
        </w:rPr>
        <w:lastRenderedPageBreak/>
        <w:tab/>
      </w:r>
      <w:r w:rsidR="000447EE" w:rsidRPr="00BB03BA">
        <w:rPr>
          <w:rFonts w:eastAsia="Times New Roman"/>
        </w:rPr>
        <w:t>W</w:t>
      </w:r>
      <w:r w:rsidR="00BF5D85" w:rsidRPr="00BB03BA">
        <w:rPr>
          <w:rFonts w:eastAsia="Times New Roman"/>
        </w:rPr>
        <w:t>he</w:t>
      </w:r>
      <w:r w:rsidR="00910A05" w:rsidRPr="00BB03BA">
        <w:rPr>
          <w:rFonts w:eastAsia="Times New Roman"/>
        </w:rPr>
        <w:t>n</w:t>
      </w:r>
      <w:r w:rsidR="00BF5D85" w:rsidRPr="00BB03BA">
        <w:rPr>
          <w:rFonts w:eastAsia="Times New Roman"/>
        </w:rPr>
        <w:t xml:space="preserve"> the affirmative defense is</w:t>
      </w:r>
      <w:r w:rsidR="000447EE" w:rsidRPr="00BB03BA">
        <w:rPr>
          <w:rFonts w:eastAsia="Times New Roman"/>
        </w:rPr>
        <w:t>, however,</w:t>
      </w:r>
      <w:r w:rsidR="00BF5D85" w:rsidRPr="00BB03BA">
        <w:rPr>
          <w:rFonts w:eastAsia="Times New Roman"/>
        </w:rPr>
        <w:t xml:space="preserve"> raised</w:t>
      </w:r>
      <w:r w:rsidR="00F22A30" w:rsidRPr="00BB03BA">
        <w:rPr>
          <w:rFonts w:eastAsia="Times New Roman"/>
        </w:rPr>
        <w:t xml:space="preserve"> along with </w:t>
      </w:r>
      <w:r w:rsidR="00555C5C" w:rsidRPr="00BB03BA">
        <w:rPr>
          <w:rFonts w:eastAsia="Times New Roman"/>
        </w:rPr>
        <w:t xml:space="preserve">the </w:t>
      </w:r>
      <w:r w:rsidR="00555C5C" w:rsidRPr="00BB03BA">
        <w:rPr>
          <w:rFonts w:eastAsia="Times New Roman"/>
          <w:i/>
          <w:iCs/>
        </w:rPr>
        <w:t>mens rea</w:t>
      </w:r>
      <w:r w:rsidR="00555C5C" w:rsidRPr="00BB03BA">
        <w:rPr>
          <w:rFonts w:eastAsia="Times New Roman"/>
        </w:rPr>
        <w:t>-type defense</w:t>
      </w:r>
      <w:r w:rsidR="00BF5D85" w:rsidRPr="00BB03BA">
        <w:rPr>
          <w:rFonts w:eastAsia="Times New Roman"/>
        </w:rPr>
        <w:t>, a court must carefully instruct the jury to avoid “confusion and erroneous application of rules [by a jury] with respect to the People</w:t>
      </w:r>
      <w:r w:rsidR="00223158" w:rsidRPr="00BB03BA">
        <w:rPr>
          <w:rFonts w:eastAsia="Times New Roman"/>
        </w:rPr>
        <w:t>’</w:t>
      </w:r>
      <w:r w:rsidR="00BF5D85" w:rsidRPr="00BB03BA">
        <w:rPr>
          <w:rFonts w:eastAsia="Times New Roman"/>
        </w:rPr>
        <w:t>s burden of proving the element of intent and defendant</w:t>
      </w:r>
      <w:r w:rsidR="00223158" w:rsidRPr="00BB03BA">
        <w:rPr>
          <w:rFonts w:eastAsia="Times New Roman"/>
        </w:rPr>
        <w:t>’</w:t>
      </w:r>
      <w:r w:rsidR="00BF5D85" w:rsidRPr="00BB03BA">
        <w:rPr>
          <w:rFonts w:eastAsia="Times New Roman"/>
        </w:rPr>
        <w:t>s burden of proving the affirmative defense of insanity.”</w:t>
      </w:r>
      <w:r w:rsidR="00BF5D85" w:rsidRPr="00BB03BA">
        <w:rPr>
          <w:rFonts w:eastAsia="Times New Roman"/>
          <w:i/>
          <w:iCs/>
        </w:rPr>
        <w:t xml:space="preserve"> </w:t>
      </w:r>
      <w:r w:rsidR="00106397" w:rsidRPr="00BB03BA">
        <w:rPr>
          <w:rFonts w:eastAsia="Times New Roman"/>
        </w:rPr>
        <w:t>(</w:t>
      </w:r>
      <w:r w:rsidR="00BF5D85" w:rsidRPr="00BB03BA">
        <w:rPr>
          <w:rFonts w:eastAsia="Times New Roman"/>
          <w:i/>
          <w:iCs/>
        </w:rPr>
        <w:t>People v Kohl</w:t>
      </w:r>
      <w:r w:rsidR="00BF5D85" w:rsidRPr="00BB03BA">
        <w:rPr>
          <w:rFonts w:eastAsia="Times New Roman"/>
        </w:rPr>
        <w:t>, 72 NY2d 191, 199 [1988]</w:t>
      </w:r>
      <w:r w:rsidR="00757BF0" w:rsidRPr="00BB03BA">
        <w:rPr>
          <w:rFonts w:eastAsia="Times New Roman"/>
        </w:rPr>
        <w:t>.</w:t>
      </w:r>
      <w:r w:rsidR="00106397" w:rsidRPr="00BB03BA">
        <w:rPr>
          <w:rFonts w:eastAsia="Times New Roman"/>
        </w:rPr>
        <w:t>)</w:t>
      </w:r>
    </w:p>
    <w:p w14:paraId="39FE2A62" w14:textId="77777777" w:rsidR="00123A8D" w:rsidRPr="00BB03BA" w:rsidRDefault="00123A8D" w:rsidP="00611FCD">
      <w:pPr>
        <w:shd w:val="clear" w:color="auto" w:fill="FFFFFF"/>
        <w:spacing w:before="0"/>
        <w:jc w:val="both"/>
        <w:rPr>
          <w:rFonts w:eastAsia="Times New Roman"/>
        </w:rPr>
      </w:pPr>
    </w:p>
    <w:p w14:paraId="5E6010E5" w14:textId="71375FD0" w:rsidR="00A10829" w:rsidRPr="00BB03BA" w:rsidRDefault="00611FCD" w:rsidP="00611FCD">
      <w:pPr>
        <w:tabs>
          <w:tab w:val="left" w:pos="720"/>
        </w:tabs>
        <w:jc w:val="both"/>
      </w:pPr>
      <w:r w:rsidRPr="00BB03BA">
        <w:tab/>
      </w:r>
      <w:r w:rsidR="00A10829" w:rsidRPr="00BB03BA">
        <w:t xml:space="preserve">To date, the decisional law of New York has only passed on the admission of evidence of mental disease or defect to negate intent. Admission of evidence of mental disease or defect may, however, be also admissible to prove that the defendant did not have one of the other culpable mental states that is an element of a charged offense. </w:t>
      </w:r>
      <w:r w:rsidR="00B657F4" w:rsidRPr="00BB03BA">
        <w:t>(</w:t>
      </w:r>
      <w:r w:rsidR="00A10829" w:rsidRPr="00BB03BA">
        <w:rPr>
          <w:i/>
          <w:iCs/>
        </w:rPr>
        <w:t xml:space="preserve">See </w:t>
      </w:r>
      <w:r w:rsidR="00A10829" w:rsidRPr="00BB03BA">
        <w:t>Model Penal Code § 4.02</w:t>
      </w:r>
      <w:r w:rsidR="00B657F4" w:rsidRPr="00BB03BA">
        <w:t xml:space="preserve"> [</w:t>
      </w:r>
      <w:r w:rsidR="00A10829" w:rsidRPr="00BB03BA">
        <w:t>1</w:t>
      </w:r>
      <w:r w:rsidR="00B657F4" w:rsidRPr="00BB03BA">
        <w:t>]</w:t>
      </w:r>
      <w:r w:rsidR="00A10829" w:rsidRPr="00BB03BA">
        <w:t xml:space="preserve"> </w:t>
      </w:r>
      <w:r w:rsidR="00B657F4" w:rsidRPr="00BB03BA">
        <w:t>[</w:t>
      </w:r>
      <w:r w:rsidR="00A10829" w:rsidRPr="00BB03BA">
        <w:rPr>
          <w:shd w:val="clear" w:color="auto" w:fill="FFFFFF"/>
        </w:rPr>
        <w:t xml:space="preserve">“Evidence that the defendant suffered from a mental disease or defect is admissible whenever it is relevant to prove that the defendant did or did not have </w:t>
      </w:r>
      <w:r w:rsidR="00B0334A" w:rsidRPr="00BB03BA">
        <w:rPr>
          <w:shd w:val="clear" w:color="auto" w:fill="FFFFFF"/>
        </w:rPr>
        <w:t>a</w:t>
      </w:r>
      <w:r w:rsidR="00A10829" w:rsidRPr="00BB03BA">
        <w:rPr>
          <w:shd w:val="clear" w:color="auto" w:fill="FFFFFF"/>
        </w:rPr>
        <w:t xml:space="preserve"> state of mind that is an element of the offense”</w:t>
      </w:r>
      <w:r w:rsidR="00B657F4" w:rsidRPr="00BB03BA">
        <w:rPr>
          <w:shd w:val="clear" w:color="auto" w:fill="FFFFFF"/>
        </w:rPr>
        <w:t>]</w:t>
      </w:r>
      <w:r w:rsidR="00A10829" w:rsidRPr="00BB03BA">
        <w:rPr>
          <w:shd w:val="clear" w:color="auto" w:fill="FFFFFF"/>
        </w:rPr>
        <w:t xml:space="preserve">; </w:t>
      </w:r>
      <w:r w:rsidR="00A10829" w:rsidRPr="00BB03BA">
        <w:rPr>
          <w:i/>
          <w:iCs/>
        </w:rPr>
        <w:t>People v Colavecchio</w:t>
      </w:r>
      <w:r w:rsidR="00A10829" w:rsidRPr="00BB03BA">
        <w:t xml:space="preserve">, 11 AD2d 161, 165 </w:t>
      </w:r>
      <w:r w:rsidR="00513E17" w:rsidRPr="00BB03BA">
        <w:t>[</w:t>
      </w:r>
      <w:r w:rsidR="00A10829" w:rsidRPr="00BB03BA">
        <w:t>4th Dept 1960</w:t>
      </w:r>
      <w:r w:rsidR="00513E17" w:rsidRPr="00BB03BA">
        <w:t>] [</w:t>
      </w:r>
      <w:r w:rsidR="00A10829" w:rsidRPr="00BB03BA">
        <w:t>quoting the Model Penal Code in holding that evidence of mental disease was admissible to negate larcenous intent</w:t>
      </w:r>
      <w:r w:rsidR="00513E17" w:rsidRPr="00BB03BA">
        <w:t>]</w:t>
      </w:r>
      <w:r w:rsidR="00B14AF2" w:rsidRPr="00BB03BA">
        <w:t>.</w:t>
      </w:r>
      <w:r w:rsidR="00A10829" w:rsidRPr="00BB03BA">
        <w:t>)</w:t>
      </w:r>
    </w:p>
    <w:p w14:paraId="0ABB459E" w14:textId="77777777" w:rsidR="00123A8D" w:rsidRPr="00BB03BA" w:rsidRDefault="00123A8D" w:rsidP="00611FCD">
      <w:pPr>
        <w:shd w:val="clear" w:color="auto" w:fill="FFFFFF"/>
        <w:spacing w:before="0"/>
        <w:jc w:val="both"/>
        <w:rPr>
          <w:rFonts w:eastAsia="Times New Roman"/>
        </w:rPr>
      </w:pPr>
    </w:p>
    <w:sectPr w:rsidR="00123A8D" w:rsidRPr="00BB03BA" w:rsidSect="007F6CE0">
      <w:footerReference w:type="default" r:id="rId7"/>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B61A" w14:textId="77777777" w:rsidR="00223158" w:rsidRDefault="00223158" w:rsidP="00223158">
      <w:pPr>
        <w:spacing w:before="0"/>
      </w:pPr>
      <w:r>
        <w:separator/>
      </w:r>
    </w:p>
  </w:endnote>
  <w:endnote w:type="continuationSeparator" w:id="0">
    <w:p w14:paraId="1EF2F8CB" w14:textId="77777777" w:rsidR="00223158" w:rsidRDefault="00223158" w:rsidP="00223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6553"/>
      <w:docPartObj>
        <w:docPartGallery w:val="Page Numbers (Bottom of Page)"/>
        <w:docPartUnique/>
      </w:docPartObj>
    </w:sdtPr>
    <w:sdtEndPr>
      <w:rPr>
        <w:noProof/>
      </w:rPr>
    </w:sdtEndPr>
    <w:sdtContent>
      <w:p w14:paraId="542D11C4" w14:textId="77777777" w:rsidR="00223158" w:rsidRDefault="00223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6132" w14:textId="77777777" w:rsidR="00223158" w:rsidRDefault="00223158" w:rsidP="00223158">
      <w:pPr>
        <w:spacing w:before="0"/>
      </w:pPr>
      <w:r>
        <w:separator/>
      </w:r>
    </w:p>
  </w:footnote>
  <w:footnote w:type="continuationSeparator" w:id="0">
    <w:p w14:paraId="66FE9E00" w14:textId="77777777" w:rsidR="00223158" w:rsidRDefault="00223158" w:rsidP="0022315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6D"/>
    <w:rsid w:val="00002355"/>
    <w:rsid w:val="00027F98"/>
    <w:rsid w:val="00031196"/>
    <w:rsid w:val="000447EE"/>
    <w:rsid w:val="00047E84"/>
    <w:rsid w:val="00067820"/>
    <w:rsid w:val="0007340C"/>
    <w:rsid w:val="00076480"/>
    <w:rsid w:val="000B1B90"/>
    <w:rsid w:val="000C634E"/>
    <w:rsid w:val="000E6B4A"/>
    <w:rsid w:val="00106397"/>
    <w:rsid w:val="00107997"/>
    <w:rsid w:val="0011776D"/>
    <w:rsid w:val="00123A8D"/>
    <w:rsid w:val="001416A4"/>
    <w:rsid w:val="00172265"/>
    <w:rsid w:val="00223158"/>
    <w:rsid w:val="0022525A"/>
    <w:rsid w:val="0022778B"/>
    <w:rsid w:val="00254815"/>
    <w:rsid w:val="00270202"/>
    <w:rsid w:val="00271926"/>
    <w:rsid w:val="002953A8"/>
    <w:rsid w:val="002A308A"/>
    <w:rsid w:val="003035A9"/>
    <w:rsid w:val="00345BC3"/>
    <w:rsid w:val="00376EBA"/>
    <w:rsid w:val="003A3DA6"/>
    <w:rsid w:val="003D34FF"/>
    <w:rsid w:val="003F386E"/>
    <w:rsid w:val="00471858"/>
    <w:rsid w:val="005101ED"/>
    <w:rsid w:val="00513E17"/>
    <w:rsid w:val="00555C5C"/>
    <w:rsid w:val="00597EC8"/>
    <w:rsid w:val="00611FCD"/>
    <w:rsid w:val="0064449E"/>
    <w:rsid w:val="00644D16"/>
    <w:rsid w:val="00694952"/>
    <w:rsid w:val="006B7884"/>
    <w:rsid w:val="006C54AB"/>
    <w:rsid w:val="006D3D1C"/>
    <w:rsid w:val="006F6B73"/>
    <w:rsid w:val="00703ED9"/>
    <w:rsid w:val="007054A0"/>
    <w:rsid w:val="00757BF0"/>
    <w:rsid w:val="007643DF"/>
    <w:rsid w:val="00775493"/>
    <w:rsid w:val="007C486C"/>
    <w:rsid w:val="007F6CE0"/>
    <w:rsid w:val="008F4156"/>
    <w:rsid w:val="00910A05"/>
    <w:rsid w:val="009117E4"/>
    <w:rsid w:val="00950EA6"/>
    <w:rsid w:val="009E6219"/>
    <w:rsid w:val="00A10829"/>
    <w:rsid w:val="00A16D71"/>
    <w:rsid w:val="00A649A0"/>
    <w:rsid w:val="00AD48FC"/>
    <w:rsid w:val="00B0334A"/>
    <w:rsid w:val="00B14AF2"/>
    <w:rsid w:val="00B37497"/>
    <w:rsid w:val="00B657F4"/>
    <w:rsid w:val="00B75F2D"/>
    <w:rsid w:val="00BB03BA"/>
    <w:rsid w:val="00BD01CB"/>
    <w:rsid w:val="00BF0033"/>
    <w:rsid w:val="00BF5D85"/>
    <w:rsid w:val="00BF668C"/>
    <w:rsid w:val="00C276AA"/>
    <w:rsid w:val="00C44108"/>
    <w:rsid w:val="00C66635"/>
    <w:rsid w:val="00C94166"/>
    <w:rsid w:val="00CA114C"/>
    <w:rsid w:val="00CD2B5A"/>
    <w:rsid w:val="00CE0817"/>
    <w:rsid w:val="00CE136C"/>
    <w:rsid w:val="00D61C8F"/>
    <w:rsid w:val="00DA0202"/>
    <w:rsid w:val="00E14619"/>
    <w:rsid w:val="00E31DAF"/>
    <w:rsid w:val="00E511A9"/>
    <w:rsid w:val="00E70521"/>
    <w:rsid w:val="00EC3DEB"/>
    <w:rsid w:val="00EC5A1D"/>
    <w:rsid w:val="00EF21BC"/>
    <w:rsid w:val="00F16560"/>
    <w:rsid w:val="00F22A30"/>
    <w:rsid w:val="00F23308"/>
    <w:rsid w:val="00F25F69"/>
    <w:rsid w:val="00F67109"/>
    <w:rsid w:val="00F7606B"/>
    <w:rsid w:val="00F81A3E"/>
    <w:rsid w:val="00FC02BA"/>
    <w:rsid w:val="00FC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A1DE"/>
  <w15:chartTrackingRefBased/>
  <w15:docId w15:val="{7F763AA9-9527-4D1D-90F8-C9B0B68D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CommentReference">
    <w:name w:val="annotation reference"/>
    <w:basedOn w:val="DefaultParagraphFont"/>
    <w:uiPriority w:val="99"/>
    <w:semiHidden/>
    <w:unhideWhenUsed/>
    <w:rsid w:val="00270202"/>
    <w:rPr>
      <w:sz w:val="16"/>
      <w:szCs w:val="16"/>
    </w:rPr>
  </w:style>
  <w:style w:type="paragraph" w:styleId="CommentText">
    <w:name w:val="annotation text"/>
    <w:basedOn w:val="Normal"/>
    <w:link w:val="CommentTextChar"/>
    <w:uiPriority w:val="99"/>
    <w:semiHidden/>
    <w:unhideWhenUsed/>
    <w:rsid w:val="00270202"/>
    <w:rPr>
      <w:sz w:val="20"/>
      <w:szCs w:val="20"/>
    </w:rPr>
  </w:style>
  <w:style w:type="character" w:customStyle="1" w:styleId="CommentTextChar">
    <w:name w:val="Comment Text Char"/>
    <w:basedOn w:val="DefaultParagraphFont"/>
    <w:link w:val="CommentText"/>
    <w:uiPriority w:val="99"/>
    <w:semiHidden/>
    <w:rsid w:val="00270202"/>
    <w:rPr>
      <w:sz w:val="20"/>
      <w:szCs w:val="20"/>
    </w:rPr>
  </w:style>
  <w:style w:type="paragraph" w:styleId="CommentSubject">
    <w:name w:val="annotation subject"/>
    <w:basedOn w:val="CommentText"/>
    <w:next w:val="CommentText"/>
    <w:link w:val="CommentSubjectChar"/>
    <w:uiPriority w:val="99"/>
    <w:semiHidden/>
    <w:unhideWhenUsed/>
    <w:rsid w:val="00270202"/>
    <w:rPr>
      <w:b/>
      <w:bCs/>
    </w:rPr>
  </w:style>
  <w:style w:type="character" w:customStyle="1" w:styleId="CommentSubjectChar">
    <w:name w:val="Comment Subject Char"/>
    <w:basedOn w:val="CommentTextChar"/>
    <w:link w:val="CommentSubject"/>
    <w:uiPriority w:val="99"/>
    <w:semiHidden/>
    <w:rsid w:val="00270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061">
      <w:bodyDiv w:val="1"/>
      <w:marLeft w:val="0"/>
      <w:marRight w:val="0"/>
      <w:marTop w:val="0"/>
      <w:marBottom w:val="0"/>
      <w:divBdr>
        <w:top w:val="none" w:sz="0" w:space="0" w:color="auto"/>
        <w:left w:val="none" w:sz="0" w:space="0" w:color="auto"/>
        <w:bottom w:val="none" w:sz="0" w:space="0" w:color="auto"/>
        <w:right w:val="none" w:sz="0" w:space="0" w:color="auto"/>
      </w:divBdr>
    </w:div>
    <w:div w:id="166596559">
      <w:bodyDiv w:val="1"/>
      <w:marLeft w:val="0"/>
      <w:marRight w:val="0"/>
      <w:marTop w:val="0"/>
      <w:marBottom w:val="0"/>
      <w:divBdr>
        <w:top w:val="none" w:sz="0" w:space="0" w:color="auto"/>
        <w:left w:val="none" w:sz="0" w:space="0" w:color="auto"/>
        <w:bottom w:val="none" w:sz="0" w:space="0" w:color="auto"/>
        <w:right w:val="none" w:sz="0" w:space="0" w:color="auto"/>
      </w:divBdr>
      <w:divsChild>
        <w:div w:id="10380315">
          <w:marLeft w:val="0"/>
          <w:marRight w:val="0"/>
          <w:marTop w:val="0"/>
          <w:marBottom w:val="0"/>
          <w:divBdr>
            <w:top w:val="none" w:sz="0" w:space="0" w:color="auto"/>
            <w:left w:val="none" w:sz="0" w:space="0" w:color="auto"/>
            <w:bottom w:val="none" w:sz="0" w:space="0" w:color="auto"/>
            <w:right w:val="none" w:sz="0" w:space="0" w:color="auto"/>
          </w:divBdr>
          <w:divsChild>
            <w:div w:id="863598510">
              <w:marLeft w:val="0"/>
              <w:marRight w:val="0"/>
              <w:marTop w:val="0"/>
              <w:marBottom w:val="0"/>
              <w:divBdr>
                <w:top w:val="none" w:sz="0" w:space="0" w:color="auto"/>
                <w:left w:val="none" w:sz="0" w:space="0" w:color="auto"/>
                <w:bottom w:val="none" w:sz="0" w:space="0" w:color="auto"/>
                <w:right w:val="none" w:sz="0" w:space="0" w:color="auto"/>
              </w:divBdr>
              <w:divsChild>
                <w:div w:id="6122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0201">
      <w:bodyDiv w:val="1"/>
      <w:marLeft w:val="0"/>
      <w:marRight w:val="0"/>
      <w:marTop w:val="0"/>
      <w:marBottom w:val="0"/>
      <w:divBdr>
        <w:top w:val="none" w:sz="0" w:space="0" w:color="auto"/>
        <w:left w:val="none" w:sz="0" w:space="0" w:color="auto"/>
        <w:bottom w:val="none" w:sz="0" w:space="0" w:color="auto"/>
        <w:right w:val="none" w:sz="0" w:space="0" w:color="auto"/>
      </w:divBdr>
    </w:div>
    <w:div w:id="554046722">
      <w:bodyDiv w:val="1"/>
      <w:marLeft w:val="0"/>
      <w:marRight w:val="0"/>
      <w:marTop w:val="0"/>
      <w:marBottom w:val="0"/>
      <w:divBdr>
        <w:top w:val="none" w:sz="0" w:space="0" w:color="auto"/>
        <w:left w:val="none" w:sz="0" w:space="0" w:color="auto"/>
        <w:bottom w:val="none" w:sz="0" w:space="0" w:color="auto"/>
        <w:right w:val="none" w:sz="0" w:space="0" w:color="auto"/>
      </w:divBdr>
      <w:divsChild>
        <w:div w:id="2095197958">
          <w:marLeft w:val="0"/>
          <w:marRight w:val="0"/>
          <w:marTop w:val="0"/>
          <w:marBottom w:val="0"/>
          <w:divBdr>
            <w:top w:val="none" w:sz="0" w:space="0" w:color="auto"/>
            <w:left w:val="none" w:sz="0" w:space="0" w:color="auto"/>
            <w:bottom w:val="none" w:sz="0" w:space="0" w:color="auto"/>
            <w:right w:val="none" w:sz="0" w:space="0" w:color="auto"/>
          </w:divBdr>
          <w:divsChild>
            <w:div w:id="1132096956">
              <w:marLeft w:val="0"/>
              <w:marRight w:val="0"/>
              <w:marTop w:val="0"/>
              <w:marBottom w:val="0"/>
              <w:divBdr>
                <w:top w:val="none" w:sz="0" w:space="0" w:color="auto"/>
                <w:left w:val="none" w:sz="0" w:space="0" w:color="auto"/>
                <w:bottom w:val="none" w:sz="0" w:space="0" w:color="auto"/>
                <w:right w:val="none" w:sz="0" w:space="0" w:color="auto"/>
              </w:divBdr>
              <w:divsChild>
                <w:div w:id="16438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692">
      <w:bodyDiv w:val="1"/>
      <w:marLeft w:val="0"/>
      <w:marRight w:val="0"/>
      <w:marTop w:val="0"/>
      <w:marBottom w:val="0"/>
      <w:divBdr>
        <w:top w:val="none" w:sz="0" w:space="0" w:color="auto"/>
        <w:left w:val="none" w:sz="0" w:space="0" w:color="auto"/>
        <w:bottom w:val="none" w:sz="0" w:space="0" w:color="auto"/>
        <w:right w:val="none" w:sz="0" w:space="0" w:color="auto"/>
      </w:divBdr>
      <w:divsChild>
        <w:div w:id="591358879">
          <w:marLeft w:val="0"/>
          <w:marRight w:val="0"/>
          <w:marTop w:val="0"/>
          <w:marBottom w:val="0"/>
          <w:divBdr>
            <w:top w:val="none" w:sz="0" w:space="0" w:color="auto"/>
            <w:left w:val="none" w:sz="0" w:space="0" w:color="auto"/>
            <w:bottom w:val="none" w:sz="0" w:space="0" w:color="auto"/>
            <w:right w:val="none" w:sz="0" w:space="0" w:color="auto"/>
          </w:divBdr>
          <w:divsChild>
            <w:div w:id="348456598">
              <w:marLeft w:val="0"/>
              <w:marRight w:val="0"/>
              <w:marTop w:val="0"/>
              <w:marBottom w:val="0"/>
              <w:divBdr>
                <w:top w:val="none" w:sz="0" w:space="0" w:color="auto"/>
                <w:left w:val="none" w:sz="0" w:space="0" w:color="auto"/>
                <w:bottom w:val="none" w:sz="0" w:space="0" w:color="auto"/>
                <w:right w:val="none" w:sz="0" w:space="0" w:color="auto"/>
              </w:divBdr>
              <w:divsChild>
                <w:div w:id="17011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0841">
      <w:bodyDiv w:val="1"/>
      <w:marLeft w:val="0"/>
      <w:marRight w:val="0"/>
      <w:marTop w:val="0"/>
      <w:marBottom w:val="0"/>
      <w:divBdr>
        <w:top w:val="none" w:sz="0" w:space="0" w:color="auto"/>
        <w:left w:val="none" w:sz="0" w:space="0" w:color="auto"/>
        <w:bottom w:val="none" w:sz="0" w:space="0" w:color="auto"/>
        <w:right w:val="none" w:sz="0" w:space="0" w:color="auto"/>
      </w:divBdr>
      <w:divsChild>
        <w:div w:id="2130586286">
          <w:marLeft w:val="0"/>
          <w:marRight w:val="0"/>
          <w:marTop w:val="0"/>
          <w:marBottom w:val="0"/>
          <w:divBdr>
            <w:top w:val="none" w:sz="0" w:space="0" w:color="auto"/>
            <w:left w:val="none" w:sz="0" w:space="0" w:color="auto"/>
            <w:bottom w:val="none" w:sz="0" w:space="0" w:color="auto"/>
            <w:right w:val="none" w:sz="0" w:space="0" w:color="auto"/>
          </w:divBdr>
          <w:divsChild>
            <w:div w:id="1458530685">
              <w:marLeft w:val="0"/>
              <w:marRight w:val="0"/>
              <w:marTop w:val="0"/>
              <w:marBottom w:val="0"/>
              <w:divBdr>
                <w:top w:val="none" w:sz="0" w:space="0" w:color="auto"/>
                <w:left w:val="none" w:sz="0" w:space="0" w:color="auto"/>
                <w:bottom w:val="none" w:sz="0" w:space="0" w:color="auto"/>
                <w:right w:val="none" w:sz="0" w:space="0" w:color="auto"/>
              </w:divBdr>
              <w:divsChild>
                <w:div w:id="536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7048">
      <w:bodyDiv w:val="1"/>
      <w:marLeft w:val="0"/>
      <w:marRight w:val="0"/>
      <w:marTop w:val="0"/>
      <w:marBottom w:val="0"/>
      <w:divBdr>
        <w:top w:val="none" w:sz="0" w:space="0" w:color="auto"/>
        <w:left w:val="none" w:sz="0" w:space="0" w:color="auto"/>
        <w:bottom w:val="none" w:sz="0" w:space="0" w:color="auto"/>
        <w:right w:val="none" w:sz="0" w:space="0" w:color="auto"/>
      </w:divBdr>
      <w:divsChild>
        <w:div w:id="143472564">
          <w:marLeft w:val="0"/>
          <w:marRight w:val="0"/>
          <w:marTop w:val="0"/>
          <w:marBottom w:val="0"/>
          <w:divBdr>
            <w:top w:val="none" w:sz="0" w:space="0" w:color="auto"/>
            <w:left w:val="none" w:sz="0" w:space="0" w:color="auto"/>
            <w:bottom w:val="none" w:sz="0" w:space="0" w:color="auto"/>
            <w:right w:val="none" w:sz="0" w:space="0" w:color="auto"/>
          </w:divBdr>
          <w:divsChild>
            <w:div w:id="851190493">
              <w:marLeft w:val="0"/>
              <w:marRight w:val="0"/>
              <w:marTop w:val="0"/>
              <w:marBottom w:val="0"/>
              <w:divBdr>
                <w:top w:val="none" w:sz="0" w:space="0" w:color="auto"/>
                <w:left w:val="none" w:sz="0" w:space="0" w:color="auto"/>
                <w:bottom w:val="none" w:sz="0" w:space="0" w:color="auto"/>
                <w:right w:val="none" w:sz="0" w:space="0" w:color="auto"/>
              </w:divBdr>
              <w:divsChild>
                <w:div w:id="18859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9319">
      <w:bodyDiv w:val="1"/>
      <w:marLeft w:val="0"/>
      <w:marRight w:val="0"/>
      <w:marTop w:val="0"/>
      <w:marBottom w:val="0"/>
      <w:divBdr>
        <w:top w:val="none" w:sz="0" w:space="0" w:color="auto"/>
        <w:left w:val="none" w:sz="0" w:space="0" w:color="auto"/>
        <w:bottom w:val="none" w:sz="0" w:space="0" w:color="auto"/>
        <w:right w:val="none" w:sz="0" w:space="0" w:color="auto"/>
      </w:divBdr>
      <w:divsChild>
        <w:div w:id="53963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9510-3FF2-40E4-99CA-0FDDF07D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6</cp:revision>
  <cp:lastPrinted>2023-04-24T17:07:00Z</cp:lastPrinted>
  <dcterms:created xsi:type="dcterms:W3CDTF">2023-04-25T13:20:00Z</dcterms:created>
  <dcterms:modified xsi:type="dcterms:W3CDTF">2023-05-04T19:28:00Z</dcterms:modified>
</cp:coreProperties>
</file>