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8C" w:rsidRPr="002A669F" w:rsidRDefault="004E388C" w:rsidP="002A66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b/>
          <w:bCs/>
          <w:sz w:val="28"/>
          <w:szCs w:val="28"/>
        </w:rPr>
      </w:pPr>
      <w:r w:rsidRPr="002A669F">
        <w:rPr>
          <w:sz w:val="28"/>
          <w:szCs w:val="28"/>
          <w:lang w:val="en-CA"/>
        </w:rPr>
        <w:fldChar w:fldCharType="begin"/>
      </w:r>
      <w:r w:rsidRPr="002A669F">
        <w:rPr>
          <w:sz w:val="28"/>
          <w:szCs w:val="28"/>
          <w:lang w:val="en-CA"/>
        </w:rPr>
        <w:instrText xml:space="preserve"> SEQ CHAPTER \h \r 1</w:instrText>
      </w:r>
      <w:r w:rsidRPr="002A669F">
        <w:rPr>
          <w:sz w:val="28"/>
          <w:szCs w:val="28"/>
          <w:lang w:val="en-CA"/>
        </w:rPr>
        <w:fldChar w:fldCharType="end"/>
      </w:r>
      <w:r w:rsidR="00410C43">
        <w:rPr>
          <w:b/>
          <w:bCs/>
          <w:sz w:val="28"/>
          <w:szCs w:val="28"/>
        </w:rPr>
        <w:t>4.01</w:t>
      </w:r>
      <w:bookmarkStart w:id="0" w:name="_GoBack"/>
      <w:bookmarkEnd w:id="0"/>
      <w:r w:rsidRPr="002A669F">
        <w:rPr>
          <w:b/>
          <w:bCs/>
          <w:sz w:val="28"/>
          <w:szCs w:val="28"/>
        </w:rPr>
        <w:t>. Relevant Evidence</w:t>
      </w:r>
    </w:p>
    <w:p w:rsidR="002A669F" w:rsidRPr="002A669F" w:rsidRDefault="002A669F" w:rsidP="002A66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b/>
          <w:bCs/>
          <w:sz w:val="28"/>
          <w:szCs w:val="28"/>
        </w:rPr>
      </w:pPr>
    </w:p>
    <w:p w:rsidR="004E388C" w:rsidRDefault="004E388C" w:rsidP="002A669F">
      <w:pPr>
        <w:widowControl/>
        <w:tabs>
          <w:tab w:val="left" w:pos="720"/>
          <w:tab w:val="left" w:pos="1440"/>
          <w:tab w:val="left" w:pos="2160"/>
          <w:tab w:val="left" w:pos="2880"/>
          <w:tab w:val="left" w:pos="3600"/>
          <w:tab w:val="left" w:pos="4320"/>
          <w:tab w:val="left" w:pos="5040"/>
          <w:tab w:val="left" w:pos="5760"/>
          <w:tab w:val="left" w:pos="6480"/>
        </w:tabs>
        <w:ind w:left="720" w:right="720"/>
        <w:jc w:val="both"/>
        <w:rPr>
          <w:b/>
          <w:bCs/>
          <w:sz w:val="28"/>
          <w:szCs w:val="28"/>
        </w:rPr>
      </w:pPr>
      <w:r w:rsidRPr="002A669F">
        <w:rPr>
          <w:b/>
          <w:bCs/>
          <w:sz w:val="28"/>
          <w:szCs w:val="28"/>
        </w:rPr>
        <w:t>(1) Relevant evidence is evidence having any tendency to make the existence of any fact that is of consequence to the determination of the proceeding more probable or less probable than it would be without the evidence.</w:t>
      </w:r>
    </w:p>
    <w:p w:rsidR="002A669F" w:rsidRPr="002A669F" w:rsidRDefault="002A669F" w:rsidP="002A669F">
      <w:pPr>
        <w:widowControl/>
        <w:tabs>
          <w:tab w:val="left" w:pos="720"/>
          <w:tab w:val="left" w:pos="1440"/>
          <w:tab w:val="left" w:pos="2160"/>
          <w:tab w:val="left" w:pos="2880"/>
          <w:tab w:val="left" w:pos="3600"/>
          <w:tab w:val="left" w:pos="4320"/>
          <w:tab w:val="left" w:pos="5040"/>
          <w:tab w:val="left" w:pos="5760"/>
          <w:tab w:val="left" w:pos="6480"/>
        </w:tabs>
        <w:ind w:left="720" w:right="720"/>
        <w:jc w:val="both"/>
        <w:rPr>
          <w:b/>
          <w:bCs/>
          <w:sz w:val="28"/>
          <w:szCs w:val="28"/>
        </w:rPr>
      </w:pPr>
    </w:p>
    <w:p w:rsidR="004E388C" w:rsidRPr="002A669F" w:rsidRDefault="002A669F" w:rsidP="002A669F">
      <w:pPr>
        <w:pStyle w:val="NoSpacing"/>
        <w:widowControl/>
        <w:tabs>
          <w:tab w:val="left" w:pos="720"/>
          <w:tab w:val="left" w:pos="1440"/>
          <w:tab w:val="left" w:pos="2160"/>
          <w:tab w:val="left" w:pos="2880"/>
          <w:tab w:val="left" w:pos="3600"/>
          <w:tab w:val="left" w:pos="4320"/>
          <w:tab w:val="left" w:pos="5040"/>
          <w:tab w:val="left" w:pos="5760"/>
          <w:tab w:val="left" w:pos="6480"/>
        </w:tabs>
        <w:ind w:left="720" w:right="720"/>
        <w:rPr>
          <w:rFonts w:ascii="Times New Roman" w:hAnsi="Times New Roman" w:cs="Times New Roman"/>
          <w:b/>
          <w:bCs/>
          <w:sz w:val="28"/>
          <w:szCs w:val="28"/>
        </w:rPr>
      </w:pPr>
      <w:r>
        <w:rPr>
          <w:rFonts w:ascii="Times New Roman" w:hAnsi="Times New Roman" w:cs="Times New Roman"/>
          <w:b/>
          <w:bCs/>
          <w:sz w:val="28"/>
          <w:szCs w:val="28"/>
        </w:rPr>
        <w:t xml:space="preserve">(2) </w:t>
      </w:r>
      <w:r w:rsidR="004E388C" w:rsidRPr="002A669F">
        <w:rPr>
          <w:rFonts w:ascii="Times New Roman" w:hAnsi="Times New Roman" w:cs="Times New Roman"/>
          <w:b/>
          <w:bCs/>
          <w:sz w:val="28"/>
          <w:szCs w:val="28"/>
        </w:rPr>
        <w:t>All relevant evidence is admissible except as otherwise provided or required by the Constitution of the United States or the Constitution, statutes, or common law of New York State.</w:t>
      </w:r>
    </w:p>
    <w:p w:rsidR="004E388C" w:rsidRPr="002A669F" w:rsidRDefault="004E388C" w:rsidP="002A669F">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ind w:right="720"/>
        <w:jc w:val="left"/>
        <w:rPr>
          <w:rFonts w:ascii="Times New Roman" w:hAnsi="Times New Roman" w:cs="Times New Roman"/>
          <w:b/>
          <w:bCs/>
          <w:sz w:val="28"/>
          <w:szCs w:val="28"/>
        </w:rPr>
      </w:pPr>
    </w:p>
    <w:p w:rsidR="004E388C" w:rsidRPr="002A669F" w:rsidRDefault="004E388C" w:rsidP="002A669F">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center"/>
        <w:rPr>
          <w:rFonts w:ascii="Times New Roman" w:hAnsi="Times New Roman" w:cs="Times New Roman"/>
          <w:b/>
          <w:bCs/>
          <w:sz w:val="24"/>
          <w:szCs w:val="24"/>
        </w:rPr>
      </w:pPr>
      <w:r w:rsidRPr="002A669F">
        <w:rPr>
          <w:rFonts w:ascii="Times New Roman" w:hAnsi="Times New Roman" w:cs="Times New Roman"/>
          <w:b/>
          <w:bCs/>
          <w:sz w:val="24"/>
          <w:szCs w:val="24"/>
        </w:rPr>
        <w:t>N</w:t>
      </w:r>
      <w:r w:rsidR="002A669F" w:rsidRPr="002A669F">
        <w:rPr>
          <w:rFonts w:ascii="Times New Roman" w:hAnsi="Times New Roman" w:cs="Times New Roman"/>
          <w:b/>
          <w:bCs/>
          <w:sz w:val="24"/>
          <w:szCs w:val="24"/>
        </w:rPr>
        <w:t>ote</w:t>
      </w:r>
    </w:p>
    <w:p w:rsidR="004E388C" w:rsidRPr="002A669F" w:rsidRDefault="004E388C" w:rsidP="002A669F">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jc w:val="left"/>
        <w:rPr>
          <w:rFonts w:ascii="Times New Roman" w:hAnsi="Times New Roman" w:cs="Times New Roman"/>
          <w:b/>
          <w:bCs/>
          <w:sz w:val="24"/>
          <w:szCs w:val="24"/>
        </w:rPr>
      </w:pPr>
    </w:p>
    <w:p w:rsidR="004E388C" w:rsidRPr="002A669F" w:rsidRDefault="002A669F" w:rsidP="002A669F">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776"/>
        </w:tabs>
        <w:ind w:right="144"/>
        <w:rPr>
          <w:rFonts w:ascii="Times New Roman" w:hAnsi="Times New Roman" w:cs="Times New Roman"/>
          <w:sz w:val="24"/>
          <w:szCs w:val="24"/>
        </w:rPr>
      </w:pPr>
      <w:r>
        <w:rPr>
          <w:rFonts w:ascii="Times New Roman" w:hAnsi="Times New Roman" w:cs="Times New Roman"/>
          <w:b/>
          <w:bCs/>
          <w:sz w:val="24"/>
          <w:szCs w:val="24"/>
        </w:rPr>
        <w:tab/>
      </w:r>
      <w:r w:rsidR="004E388C" w:rsidRPr="002A669F">
        <w:rPr>
          <w:rFonts w:ascii="Times New Roman" w:hAnsi="Times New Roman" w:cs="Times New Roman"/>
          <w:b/>
          <w:bCs/>
          <w:sz w:val="24"/>
          <w:szCs w:val="24"/>
        </w:rPr>
        <w:t>Subdivision (1)</w:t>
      </w:r>
      <w:r w:rsidR="004E388C" w:rsidRPr="002A669F">
        <w:rPr>
          <w:rFonts w:ascii="Times New Roman" w:hAnsi="Times New Roman" w:cs="Times New Roman"/>
          <w:bCs/>
          <w:sz w:val="24"/>
          <w:szCs w:val="24"/>
        </w:rPr>
        <w:t>.</w:t>
      </w:r>
      <w:r w:rsidR="004E388C" w:rsidRPr="002A669F">
        <w:rPr>
          <w:rFonts w:ascii="Times New Roman" w:hAnsi="Times New Roman" w:cs="Times New Roman"/>
          <w:b/>
          <w:bCs/>
          <w:sz w:val="24"/>
          <w:szCs w:val="24"/>
        </w:rPr>
        <w:t xml:space="preserve"> </w:t>
      </w:r>
      <w:r w:rsidR="004E388C" w:rsidRPr="002A669F">
        <w:rPr>
          <w:rFonts w:ascii="Times New Roman" w:hAnsi="Times New Roman" w:cs="Times New Roman"/>
          <w:sz w:val="24"/>
          <w:szCs w:val="24"/>
        </w:rPr>
        <w:t xml:space="preserve">Subdivision (1) defines the term “relevant evidence.” It is derived from </w:t>
      </w:r>
      <w:r w:rsidR="004E388C" w:rsidRPr="002A669F">
        <w:rPr>
          <w:rFonts w:ascii="Times New Roman" w:hAnsi="Times New Roman" w:cs="Times New Roman"/>
          <w:i/>
          <w:iCs/>
          <w:sz w:val="24"/>
          <w:szCs w:val="24"/>
        </w:rPr>
        <w:t>People v Davis</w:t>
      </w:r>
      <w:r w:rsidR="004E388C" w:rsidRPr="002A669F">
        <w:rPr>
          <w:rFonts w:ascii="Times New Roman" w:hAnsi="Times New Roman" w:cs="Times New Roman"/>
          <w:sz w:val="24"/>
          <w:szCs w:val="24"/>
        </w:rPr>
        <w:t xml:space="preserve"> (43 NY2d 17, 27 [1977]).</w:t>
      </w:r>
      <w:r w:rsidR="004E388C" w:rsidRPr="002A669F">
        <w:rPr>
          <w:rFonts w:ascii="Times New Roman" w:hAnsi="Times New Roman" w:cs="Times New Roman"/>
          <w:b/>
          <w:bCs/>
          <w:sz w:val="24"/>
          <w:szCs w:val="24"/>
        </w:rPr>
        <w:t xml:space="preserve"> </w:t>
      </w:r>
      <w:r w:rsidR="004E388C" w:rsidRPr="002A669F">
        <w:rPr>
          <w:rFonts w:ascii="Times New Roman" w:hAnsi="Times New Roman" w:cs="Times New Roman"/>
          <w:sz w:val="24"/>
          <w:szCs w:val="24"/>
        </w:rPr>
        <w:t>As observed by the Court of Appeals, under this definition the evidence must tend to prove a fact that is material in the litigation. (</w:t>
      </w:r>
      <w:r w:rsidR="004E388C" w:rsidRPr="002A669F">
        <w:rPr>
          <w:rFonts w:ascii="Times New Roman" w:hAnsi="Times New Roman" w:cs="Times New Roman"/>
          <w:i/>
          <w:iCs/>
          <w:color w:val="212121"/>
          <w:sz w:val="24"/>
          <w:szCs w:val="24"/>
        </w:rPr>
        <w:t>People v Stevens</w:t>
      </w:r>
      <w:r w:rsidR="004E388C" w:rsidRPr="002A669F">
        <w:rPr>
          <w:rFonts w:ascii="Times New Roman" w:hAnsi="Times New Roman" w:cs="Times New Roman"/>
          <w:color w:val="212121"/>
          <w:sz w:val="24"/>
          <w:szCs w:val="24"/>
        </w:rPr>
        <w:t xml:space="preserve">, 76 NY2d 833, 835 [1990] [Evidence “should not be admitted unless relevant to a material fact to be proved at trial”]; </w:t>
      </w:r>
      <w:r w:rsidR="004E388C" w:rsidRPr="002A669F">
        <w:rPr>
          <w:rFonts w:ascii="Times New Roman" w:hAnsi="Times New Roman" w:cs="Times New Roman"/>
          <w:i/>
          <w:iCs/>
          <w:color w:val="212121"/>
          <w:sz w:val="24"/>
          <w:szCs w:val="24"/>
        </w:rPr>
        <w:t xml:space="preserve">People v </w:t>
      </w:r>
      <w:proofErr w:type="spellStart"/>
      <w:r w:rsidR="004E388C" w:rsidRPr="002A669F">
        <w:rPr>
          <w:rFonts w:ascii="Times New Roman" w:hAnsi="Times New Roman" w:cs="Times New Roman"/>
          <w:i/>
          <w:iCs/>
          <w:color w:val="212121"/>
          <w:sz w:val="24"/>
          <w:szCs w:val="24"/>
        </w:rPr>
        <w:t>Scarola</w:t>
      </w:r>
      <w:proofErr w:type="spellEnd"/>
      <w:r w:rsidR="004E388C" w:rsidRPr="002A669F">
        <w:rPr>
          <w:rFonts w:ascii="Times New Roman" w:hAnsi="Times New Roman" w:cs="Times New Roman"/>
          <w:color w:val="212121"/>
          <w:sz w:val="24"/>
          <w:szCs w:val="24"/>
        </w:rPr>
        <w:t xml:space="preserve">, 71 NY2d 769, 777 [1988] [“Evidence is relevant if it has any tendency in reason to prove the existence of any material fact”]; </w:t>
      </w:r>
      <w:r w:rsidR="004E388C" w:rsidRPr="002A669F">
        <w:rPr>
          <w:rFonts w:ascii="Times New Roman" w:hAnsi="Times New Roman" w:cs="Times New Roman"/>
          <w:i/>
          <w:iCs/>
          <w:sz w:val="24"/>
          <w:szCs w:val="24"/>
        </w:rPr>
        <w:t xml:space="preserve">People v </w:t>
      </w:r>
      <w:proofErr w:type="spellStart"/>
      <w:r w:rsidR="004E388C" w:rsidRPr="002A669F">
        <w:rPr>
          <w:rFonts w:ascii="Times New Roman" w:hAnsi="Times New Roman" w:cs="Times New Roman"/>
          <w:i/>
          <w:iCs/>
          <w:sz w:val="24"/>
          <w:szCs w:val="24"/>
        </w:rPr>
        <w:t>Yazum</w:t>
      </w:r>
      <w:proofErr w:type="spellEnd"/>
      <w:r w:rsidR="004E388C" w:rsidRPr="00F362F9">
        <w:rPr>
          <w:rFonts w:ascii="Times New Roman" w:hAnsi="Times New Roman" w:cs="Times New Roman"/>
          <w:iCs/>
          <w:sz w:val="24"/>
          <w:szCs w:val="24"/>
        </w:rPr>
        <w:t>,</w:t>
      </w:r>
      <w:r w:rsidR="004E388C" w:rsidRPr="00F362F9">
        <w:rPr>
          <w:rFonts w:ascii="Times New Roman" w:hAnsi="Times New Roman" w:cs="Times New Roman"/>
          <w:sz w:val="24"/>
          <w:szCs w:val="24"/>
        </w:rPr>
        <w:t xml:space="preserve"> </w:t>
      </w:r>
      <w:r w:rsidR="004E388C" w:rsidRPr="002A669F">
        <w:rPr>
          <w:rFonts w:ascii="Times New Roman" w:hAnsi="Times New Roman" w:cs="Times New Roman"/>
          <w:sz w:val="24"/>
          <w:szCs w:val="24"/>
        </w:rPr>
        <w:t>13 NY2d 302, 304 [1963] [</w:t>
      </w:r>
      <w:r w:rsidR="004E388C" w:rsidRPr="002A669F">
        <w:rPr>
          <w:rFonts w:ascii="Times New Roman" w:hAnsi="Times New Roman" w:cs="Times New Roman"/>
          <w:color w:val="212121"/>
          <w:sz w:val="24"/>
          <w:szCs w:val="24"/>
        </w:rPr>
        <w:t>“all that is necessary is that the evidence have relevance, that it tend to convince that the fact sought to be established is so. That it is equivocal or that it is consistent with suppositions other than guilt doe</w:t>
      </w:r>
      <w:r w:rsidR="00B3349D">
        <w:rPr>
          <w:rFonts w:ascii="Times New Roman" w:hAnsi="Times New Roman" w:cs="Times New Roman"/>
          <w:color w:val="212121"/>
          <w:sz w:val="24"/>
          <w:szCs w:val="24"/>
        </w:rPr>
        <w:t>s not render it inadmissible”].)</w:t>
      </w:r>
    </w:p>
    <w:p w:rsidR="004E388C" w:rsidRPr="002A669F" w:rsidRDefault="004E388C" w:rsidP="002A669F">
      <w:pPr>
        <w:pStyle w:val="NoSpacing"/>
        <w:widowControl/>
        <w:tabs>
          <w:tab w:val="left" w:pos="720"/>
          <w:tab w:val="left" w:pos="1440"/>
          <w:tab w:val="left" w:pos="2160"/>
          <w:tab w:val="left" w:pos="2880"/>
          <w:tab w:val="left" w:pos="3600"/>
          <w:tab w:val="left" w:pos="4320"/>
          <w:tab w:val="left" w:pos="5040"/>
          <w:tab w:val="left" w:pos="5760"/>
          <w:tab w:val="left" w:pos="6480"/>
          <w:tab w:val="left" w:pos="7200"/>
          <w:tab w:val="left" w:pos="7918"/>
        </w:tabs>
        <w:ind w:left="720" w:firstLine="780"/>
        <w:jc w:val="left"/>
        <w:rPr>
          <w:rFonts w:ascii="Times New Roman" w:hAnsi="Times New Roman" w:cs="Times New Roman"/>
          <w:sz w:val="24"/>
          <w:szCs w:val="24"/>
        </w:rPr>
      </w:pPr>
    </w:p>
    <w:p w:rsidR="004E388C" w:rsidRPr="002A669F" w:rsidRDefault="002A669F" w:rsidP="002A669F">
      <w:pPr>
        <w:pStyle w:val="NoSpacing"/>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sz w:val="24"/>
          <w:szCs w:val="24"/>
        </w:rPr>
      </w:pPr>
      <w:r>
        <w:rPr>
          <w:rFonts w:ascii="Times New Roman" w:hAnsi="Times New Roman" w:cs="Times New Roman"/>
          <w:sz w:val="24"/>
          <w:szCs w:val="24"/>
        </w:rPr>
        <w:tab/>
      </w:r>
      <w:r w:rsidR="004E388C" w:rsidRPr="002A669F">
        <w:rPr>
          <w:rFonts w:ascii="Times New Roman" w:hAnsi="Times New Roman" w:cs="Times New Roman"/>
          <w:b/>
          <w:sz w:val="24"/>
          <w:szCs w:val="24"/>
        </w:rPr>
        <w:t>Subdivision (2)</w:t>
      </w:r>
      <w:r w:rsidR="004E388C" w:rsidRPr="002A669F">
        <w:rPr>
          <w:rFonts w:ascii="Times New Roman" w:hAnsi="Times New Roman" w:cs="Times New Roman"/>
          <w:sz w:val="24"/>
          <w:szCs w:val="24"/>
        </w:rPr>
        <w:t xml:space="preserve">. Subdivision (2) is derived from </w:t>
      </w:r>
      <w:r w:rsidR="004E388C" w:rsidRPr="002A669F">
        <w:rPr>
          <w:rFonts w:ascii="Times New Roman" w:hAnsi="Times New Roman" w:cs="Times New Roman"/>
          <w:i/>
          <w:iCs/>
          <w:sz w:val="24"/>
          <w:szCs w:val="24"/>
        </w:rPr>
        <w:t>Ando v Woodberry</w:t>
      </w:r>
      <w:r w:rsidR="004E388C" w:rsidRPr="002A669F">
        <w:rPr>
          <w:rFonts w:ascii="Times New Roman" w:hAnsi="Times New Roman" w:cs="Times New Roman"/>
          <w:sz w:val="24"/>
          <w:szCs w:val="24"/>
        </w:rPr>
        <w:t xml:space="preserve"> (8 NY2d 165, 167 [1960] [</w:t>
      </w:r>
      <w:r w:rsidR="009A0967">
        <w:rPr>
          <w:rFonts w:ascii="Times New Roman" w:hAnsi="Times New Roman" w:cs="Times New Roman"/>
          <w:color w:val="212121"/>
          <w:sz w:val="24"/>
          <w:szCs w:val="24"/>
        </w:rPr>
        <w:t>“(I)</w:t>
      </w:r>
      <w:r w:rsidR="004E388C" w:rsidRPr="002A669F">
        <w:rPr>
          <w:rFonts w:ascii="Times New Roman" w:hAnsi="Times New Roman" w:cs="Times New Roman"/>
          <w:color w:val="212121"/>
          <w:sz w:val="24"/>
          <w:szCs w:val="24"/>
        </w:rPr>
        <w:t>t is well to recall the principle, basic to our law of evidence, that ‘</w:t>
      </w:r>
      <w:r w:rsidR="006B4A2D">
        <w:rPr>
          <w:rFonts w:ascii="Times New Roman" w:hAnsi="Times New Roman" w:cs="Times New Roman"/>
          <w:color w:val="212121"/>
          <w:sz w:val="24"/>
          <w:szCs w:val="24"/>
        </w:rPr>
        <w:t>(a)</w:t>
      </w:r>
      <w:proofErr w:type="spellStart"/>
      <w:r w:rsidR="004E388C" w:rsidRPr="002A669F">
        <w:rPr>
          <w:rFonts w:ascii="Times New Roman" w:hAnsi="Times New Roman" w:cs="Times New Roman"/>
          <w:color w:val="212121"/>
          <w:sz w:val="24"/>
          <w:szCs w:val="24"/>
        </w:rPr>
        <w:t>ll</w:t>
      </w:r>
      <w:proofErr w:type="spellEnd"/>
      <w:r w:rsidR="004E388C" w:rsidRPr="002A669F">
        <w:rPr>
          <w:rFonts w:ascii="Times New Roman" w:hAnsi="Times New Roman" w:cs="Times New Roman"/>
          <w:color w:val="212121"/>
          <w:sz w:val="24"/>
          <w:szCs w:val="24"/>
        </w:rPr>
        <w:t xml:space="preserve"> facts having rational probative value are admissible’ unless there is sound reason to exclude them, unless, that is, ‘some specific rule forbids’ (1 Wigmore, Evidence [3d ed., 1940], p. 293). It is this general principle which gives rationality, coherence and justification to our system of evidence and we may neglect it only at the risk of turning that system into a trackless morass of arbitrary and artificial rules”]). </w:t>
      </w:r>
      <w:r w:rsidR="004E388C" w:rsidRPr="002A669F">
        <w:rPr>
          <w:rFonts w:ascii="Times New Roman" w:hAnsi="Times New Roman" w:cs="Times New Roman"/>
          <w:sz w:val="24"/>
          <w:szCs w:val="24"/>
        </w:rPr>
        <w:t>The Court of Appeals has repeatedly referred to this “principle." (</w:t>
      </w:r>
      <w:r w:rsidR="004E388C" w:rsidRPr="002A669F">
        <w:rPr>
          <w:rFonts w:ascii="Times New Roman" w:hAnsi="Times New Roman" w:cs="Times New Roman"/>
          <w:i/>
          <w:iCs/>
          <w:sz w:val="24"/>
          <w:szCs w:val="24"/>
        </w:rPr>
        <w:t xml:space="preserve">E.g. </w:t>
      </w:r>
      <w:proofErr w:type="spellStart"/>
      <w:r w:rsidR="004E388C" w:rsidRPr="002A669F">
        <w:rPr>
          <w:rFonts w:ascii="Times New Roman" w:hAnsi="Times New Roman" w:cs="Times New Roman"/>
          <w:i/>
          <w:iCs/>
          <w:sz w:val="24"/>
          <w:szCs w:val="24"/>
        </w:rPr>
        <w:t>Scarola</w:t>
      </w:r>
      <w:proofErr w:type="spellEnd"/>
      <w:r w:rsidR="004E388C" w:rsidRPr="002A669F">
        <w:rPr>
          <w:rFonts w:ascii="Times New Roman" w:hAnsi="Times New Roman" w:cs="Times New Roman"/>
          <w:sz w:val="24"/>
          <w:szCs w:val="24"/>
        </w:rPr>
        <w:t>, 71 NY2d at 777 [“</w:t>
      </w:r>
      <w:r w:rsidR="004E388C" w:rsidRPr="002A669F">
        <w:rPr>
          <w:rFonts w:ascii="Times New Roman" w:hAnsi="Times New Roman" w:cs="Times New Roman"/>
          <w:color w:val="212121"/>
          <w:sz w:val="24"/>
          <w:szCs w:val="24"/>
        </w:rPr>
        <w:t xml:space="preserve">In New York, the general rule is that all relevant evidence is admissible unless its admission violates some exclusionary rule”]; </w:t>
      </w:r>
      <w:r w:rsidR="004E388C" w:rsidRPr="002A669F">
        <w:rPr>
          <w:rFonts w:ascii="Times New Roman" w:hAnsi="Times New Roman" w:cs="Times New Roman"/>
          <w:i/>
          <w:iCs/>
          <w:color w:val="212121"/>
          <w:sz w:val="24"/>
          <w:szCs w:val="24"/>
        </w:rPr>
        <w:t>People v Alvino</w:t>
      </w:r>
      <w:r w:rsidR="004E388C" w:rsidRPr="002A669F">
        <w:rPr>
          <w:rFonts w:ascii="Times New Roman" w:hAnsi="Times New Roman" w:cs="Times New Roman"/>
          <w:color w:val="212121"/>
          <w:sz w:val="24"/>
          <w:szCs w:val="24"/>
        </w:rPr>
        <w:t>,</w:t>
      </w:r>
      <w:r w:rsidR="004E388C" w:rsidRPr="002A669F">
        <w:rPr>
          <w:rFonts w:ascii="Times New Roman" w:hAnsi="Times New Roman" w:cs="Times New Roman"/>
          <w:sz w:val="24"/>
          <w:szCs w:val="24"/>
        </w:rPr>
        <w:t xml:space="preserve"> 71 NY2d 233, 241 [1987]; </w:t>
      </w:r>
      <w:r w:rsidR="004E388C" w:rsidRPr="002A669F">
        <w:rPr>
          <w:rFonts w:ascii="Times New Roman" w:hAnsi="Times New Roman" w:cs="Times New Roman"/>
          <w:i/>
          <w:iCs/>
          <w:sz w:val="24"/>
          <w:szCs w:val="24"/>
        </w:rPr>
        <w:t>People v Lewis</w:t>
      </w:r>
      <w:r w:rsidR="004E388C" w:rsidRPr="002A669F">
        <w:rPr>
          <w:rFonts w:ascii="Times New Roman" w:hAnsi="Times New Roman" w:cs="Times New Roman"/>
          <w:sz w:val="24"/>
          <w:szCs w:val="24"/>
        </w:rPr>
        <w:t>, 69 NY2d 321, 325 [1987].)</w:t>
      </w:r>
    </w:p>
    <w:sectPr w:rsidR="004E388C" w:rsidRPr="002A669F" w:rsidSect="002A669F">
      <w:type w:val="continuous"/>
      <w:pgSz w:w="12240" w:h="15840"/>
      <w:pgMar w:top="1440" w:right="2160" w:bottom="1440" w:left="216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02"/>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9F"/>
    <w:rsid w:val="00142EB2"/>
    <w:rsid w:val="002A669F"/>
    <w:rsid w:val="00410C43"/>
    <w:rsid w:val="004E388C"/>
    <w:rsid w:val="006B4A2D"/>
    <w:rsid w:val="009A0967"/>
    <w:rsid w:val="00B3349D"/>
    <w:rsid w:val="00E86F6A"/>
    <w:rsid w:val="00F3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DDD98"/>
  <w14:defaultImageDpi w14:val="0"/>
  <w15:docId w15:val="{DC38D75A-2B62-4284-B56F-85E9C626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widowControl w:val="0"/>
      <w:autoSpaceDE w:val="0"/>
      <w:autoSpaceDN w:val="0"/>
      <w:adjustRightInd w:val="0"/>
      <w:spacing w:after="0" w:line="240" w:lineRule="auto"/>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Whiteman</dc:creator>
  <cp:keywords/>
  <dc:description/>
  <cp:lastModifiedBy>Hon. William Donnino</cp:lastModifiedBy>
  <cp:revision>4</cp:revision>
  <dcterms:created xsi:type="dcterms:W3CDTF">2017-05-30T17:05:00Z</dcterms:created>
  <dcterms:modified xsi:type="dcterms:W3CDTF">2017-10-19T20:31:00Z</dcterms:modified>
</cp:coreProperties>
</file>